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8BF" w:rsidRPr="00EB21C0" w:rsidRDefault="00842297" w:rsidP="000702CB">
      <w:pPr>
        <w:pStyle w:val="Heading1"/>
        <w:rPr>
          <w:color w:val="1F497D"/>
        </w:rPr>
      </w:pPr>
      <w:r>
        <w:rPr>
          <w:rFonts w:eastAsia="Times New Roman"/>
        </w:rPr>
        <w:t>Common</w:t>
      </w:r>
      <w:bookmarkStart w:id="0" w:name="_GoBack"/>
      <w:bookmarkEnd w:id="0"/>
      <w:r>
        <w:rPr>
          <w:rFonts w:eastAsia="Times New Roman"/>
        </w:rPr>
        <w:t>wealth of Virginia Public Schools</w:t>
      </w:r>
      <w:r w:rsidR="00ED3249">
        <w:rPr>
          <w:rFonts w:eastAsia="Times New Roman"/>
        </w:rPr>
        <w:br/>
      </w:r>
      <w:r w:rsidR="00A57CC4">
        <w:t>FFY 201</w:t>
      </w:r>
      <w:r w:rsidR="00DF2F5C">
        <w:t>9</w:t>
      </w:r>
      <w:r w:rsidR="00F65BE4">
        <w:t xml:space="preserve"> </w:t>
      </w:r>
      <w:r w:rsidR="00EB1819" w:rsidRPr="00CA2152">
        <w:t xml:space="preserve">SPECIAL EDUCATION </w:t>
      </w:r>
      <w:r w:rsidR="005322DC">
        <w:br/>
      </w:r>
      <w:r w:rsidR="00EB1819" w:rsidRPr="00CA2152">
        <w:t>PERFORMANCE REPORT</w:t>
      </w:r>
    </w:p>
    <w:p w:rsidR="00EB1819" w:rsidRDefault="000702CB" w:rsidP="00842297">
      <w:pPr>
        <w:spacing w:line="240" w:lineRule="auto"/>
        <w:rPr>
          <w:rFonts w:eastAsia="Arial Unicode MS" w:cs="Times New Roman"/>
          <w:szCs w:val="24"/>
        </w:rPr>
      </w:pPr>
      <w:r>
        <w:br/>
      </w:r>
      <w:r w:rsidR="00EB1819" w:rsidRPr="00EB1819">
        <w:rPr>
          <w:rFonts w:eastAsia="Arial Unicode MS" w:cs="Times New Roman"/>
          <w:szCs w:val="24"/>
        </w:rPr>
        <w:t xml:space="preserve">The </w:t>
      </w:r>
      <w:r w:rsidR="00EB1819" w:rsidRPr="00EB1819">
        <w:rPr>
          <w:rFonts w:eastAsia="Arial Unicode MS" w:cs="Times New Roman"/>
          <w:i/>
          <w:szCs w:val="24"/>
        </w:rPr>
        <w:t>Individuals with Disabilities Education Act</w:t>
      </w:r>
      <w:r w:rsidR="00EB1819" w:rsidRPr="00EB1819">
        <w:rPr>
          <w:rFonts w:eastAsia="Arial Unicode MS" w:cs="Times New Roman"/>
          <w:szCs w:val="24"/>
        </w:rPr>
        <w:t xml:space="preserve"> (IDEA) requires each state to report to the public on state-level data and to report on whether the state met state targets described in the state’s special education </w:t>
      </w:r>
      <w:hyperlink r:id="rId7" w:history="1">
        <w:r w:rsidR="00EB1819" w:rsidRPr="007E6251">
          <w:rPr>
            <w:rStyle w:val="Hyperlink"/>
            <w:rFonts w:eastAsia="Arial Unicode MS" w:cs="Times New Roman"/>
            <w:szCs w:val="24"/>
          </w:rPr>
          <w:t>State Performance Plan/Annual Performance Report</w:t>
        </w:r>
      </w:hyperlink>
      <w:r w:rsidR="00E546E9">
        <w:rPr>
          <w:rFonts w:eastAsia="Arial Unicode MS" w:cs="Times New Roman"/>
          <w:szCs w:val="24"/>
        </w:rPr>
        <w:t>.</w:t>
      </w:r>
      <w:r w:rsidR="00EB1819" w:rsidRPr="00EB1819">
        <w:rPr>
          <w:rFonts w:eastAsia="Arial Unicode MS" w:cs="Times New Roman"/>
          <w:szCs w:val="24"/>
        </w:rPr>
        <w:t xml:space="preserve"> </w:t>
      </w:r>
    </w:p>
    <w:p w:rsidR="006D2BDF" w:rsidRPr="006D2BDF" w:rsidRDefault="006D2BDF" w:rsidP="006D2BDF">
      <w:pPr>
        <w:spacing w:after="0" w:line="240" w:lineRule="auto"/>
        <w:ind w:right="-720"/>
        <w:rPr>
          <w:rFonts w:eastAsia="Arial Unicode MS" w:cs="Times New Roman"/>
          <w:sz w:val="16"/>
          <w:szCs w:val="16"/>
        </w:rPr>
      </w:pPr>
    </w:p>
    <w:p w:rsidR="006F6227" w:rsidRPr="00E74D08" w:rsidRDefault="006F6227" w:rsidP="00E74D08">
      <w:pPr>
        <w:spacing w:after="0"/>
      </w:pPr>
    </w:p>
    <w:p w:rsidR="006D2BDF" w:rsidRPr="000702CB" w:rsidRDefault="006D2BDF"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397E71" w:rsidTr="00EB21C0">
        <w:trPr>
          <w:tblHeader/>
        </w:trPr>
        <w:tc>
          <w:tcPr>
            <w:tcW w:w="3888" w:type="dxa"/>
            <w:shd w:val="clear" w:color="auto" w:fill="F2F2F2" w:themeFill="background1" w:themeFillShade="F2"/>
            <w:vAlign w:val="center"/>
          </w:tcPr>
          <w:p w:rsidR="00397E71" w:rsidRDefault="00B10036" w:rsidP="00EB21C0">
            <w:bookmarkStart w:id="1" w:name="Title_1" w:colFirst="0" w:colLast="0"/>
            <w:r w:rsidRPr="00B10036">
              <w:t>Indicator</w:t>
            </w:r>
            <w:r>
              <w:t xml:space="preserve"> Description</w:t>
            </w:r>
          </w:p>
        </w:tc>
        <w:tc>
          <w:tcPr>
            <w:tcW w:w="2520" w:type="dxa"/>
            <w:shd w:val="clear" w:color="auto" w:fill="F2F2F2" w:themeFill="background1" w:themeFillShade="F2"/>
            <w:vAlign w:val="center"/>
          </w:tcPr>
          <w:p w:rsidR="00397E71" w:rsidRDefault="00A57CC4" w:rsidP="00DF2F5C">
            <w:pPr>
              <w:jc w:val="center"/>
            </w:pPr>
            <w:r>
              <w:t>201</w:t>
            </w:r>
            <w:r w:rsidR="00DF2F5C">
              <w:t>9</w:t>
            </w:r>
            <w:r>
              <w:t>-20</w:t>
            </w:r>
            <w:r w:rsidR="00DF2F5C">
              <w:t>20</w:t>
            </w:r>
            <w:r w:rsidR="00E20AC2">
              <w:t xml:space="preserve"> State</w:t>
            </w:r>
            <w:r w:rsidR="00397E71">
              <w:t xml:space="preserve"> Perf</w:t>
            </w:r>
            <w:r w:rsidR="006A5248">
              <w:t>ormance (based on data from 201</w:t>
            </w:r>
            <w:r w:rsidR="00DF2F5C">
              <w:t>8</w:t>
            </w:r>
            <w:r w:rsidR="006A5248">
              <w:t>-201</w:t>
            </w:r>
            <w:r w:rsidR="00DF2F5C">
              <w:t>9</w:t>
            </w:r>
            <w:r w:rsidR="00397E71">
              <w:t>)</w:t>
            </w:r>
          </w:p>
        </w:tc>
        <w:tc>
          <w:tcPr>
            <w:tcW w:w="1620" w:type="dxa"/>
            <w:shd w:val="clear" w:color="auto" w:fill="F2F2F2" w:themeFill="background1" w:themeFillShade="F2"/>
            <w:vAlign w:val="center"/>
          </w:tcPr>
          <w:p w:rsidR="00397E71" w:rsidRDefault="00A57CC4" w:rsidP="00DF2F5C">
            <w:pPr>
              <w:jc w:val="center"/>
            </w:pPr>
            <w:r>
              <w:t>201</w:t>
            </w:r>
            <w:r w:rsidR="00DF2F5C">
              <w:t>9</w:t>
            </w:r>
            <w:r>
              <w:t>-20</w:t>
            </w:r>
            <w:r w:rsidR="00DF2F5C">
              <w:t>20</w:t>
            </w:r>
            <w:r w:rsidR="00397E71">
              <w:t xml:space="preserve"> State Target</w:t>
            </w:r>
          </w:p>
        </w:tc>
        <w:tc>
          <w:tcPr>
            <w:tcW w:w="1890" w:type="dxa"/>
            <w:shd w:val="clear" w:color="auto" w:fill="F2F2F2" w:themeFill="background1" w:themeFillShade="F2"/>
            <w:vAlign w:val="center"/>
          </w:tcPr>
          <w:p w:rsidR="00397E71" w:rsidRDefault="00397E71" w:rsidP="00397E71">
            <w:pPr>
              <w:jc w:val="center"/>
            </w:pPr>
            <w:r>
              <w:t>State Target Met</w:t>
            </w:r>
          </w:p>
        </w:tc>
      </w:tr>
      <w:bookmarkEnd w:id="1"/>
      <w:tr w:rsidR="00397E71" w:rsidTr="00397E71">
        <w:tc>
          <w:tcPr>
            <w:tcW w:w="3888" w:type="dxa"/>
          </w:tcPr>
          <w:p w:rsidR="00397E71" w:rsidRDefault="00397E71" w:rsidP="006D2BDF">
            <w:r>
              <w:t>Perce</w:t>
            </w:r>
            <w:r w:rsidR="00964E04">
              <w:t>nt of youth with IEPs graduating</w:t>
            </w:r>
            <w:r>
              <w:t xml:space="preserve"> from high school with a regular diploma</w:t>
            </w:r>
          </w:p>
        </w:tc>
        <w:tc>
          <w:tcPr>
            <w:tcW w:w="2520" w:type="dxa"/>
            <w:vAlign w:val="center"/>
          </w:tcPr>
          <w:p w:rsidR="00397E71" w:rsidRDefault="00451EBD" w:rsidP="00397E71">
            <w:pPr>
              <w:jc w:val="center"/>
            </w:pPr>
            <w:r>
              <w:t>62.88</w:t>
            </w:r>
            <w:r w:rsidR="00397E71">
              <w:t>%</w:t>
            </w:r>
          </w:p>
        </w:tc>
        <w:tc>
          <w:tcPr>
            <w:tcW w:w="1620" w:type="dxa"/>
            <w:vAlign w:val="center"/>
          </w:tcPr>
          <w:p w:rsidR="00397E71" w:rsidRDefault="00397E71" w:rsidP="00397E71">
            <w:pPr>
              <w:jc w:val="center"/>
            </w:pPr>
            <w:r w:rsidRPr="006A2885">
              <w:t>≥</w:t>
            </w:r>
            <w:r w:rsidR="00451EBD">
              <w:t>61</w:t>
            </w:r>
            <w:r w:rsidR="00E74D08">
              <w:t>.0</w:t>
            </w:r>
            <w:r w:rsidRPr="009C4B7D">
              <w:t>%</w:t>
            </w:r>
          </w:p>
        </w:tc>
        <w:tc>
          <w:tcPr>
            <w:tcW w:w="1890" w:type="dxa"/>
            <w:vAlign w:val="center"/>
          </w:tcPr>
          <w:p w:rsidR="00397E71" w:rsidRDefault="00842297" w:rsidP="00397E71">
            <w:pPr>
              <w:jc w:val="center"/>
            </w:pPr>
            <w:r>
              <w:rPr>
                <w:noProof/>
              </w:rPr>
              <w:t>Yes</w:t>
            </w:r>
          </w:p>
        </w:tc>
      </w:tr>
    </w:tbl>
    <w:p w:rsidR="00940461" w:rsidRDefault="00940461" w:rsidP="00CA2152"/>
    <w:p w:rsidR="007E5824" w:rsidRPr="00CA2152" w:rsidRDefault="007E5824" w:rsidP="00CA2152"/>
    <w:p w:rsidR="00455BAB" w:rsidRPr="00455BAB" w:rsidRDefault="00455BAB"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455BAB" w:rsidTr="00B10036">
        <w:trPr>
          <w:tblHeader/>
        </w:trPr>
        <w:tc>
          <w:tcPr>
            <w:tcW w:w="3888" w:type="dxa"/>
            <w:shd w:val="clear" w:color="auto" w:fill="F2F2F2" w:themeFill="background1" w:themeFillShade="F2"/>
            <w:vAlign w:val="center"/>
          </w:tcPr>
          <w:p w:rsidR="00455BAB" w:rsidRDefault="00B10036" w:rsidP="00455BAB">
            <w:bookmarkStart w:id="2" w:name="Title_2" w:colFirst="0" w:colLast="0"/>
            <w:r w:rsidRPr="00B10036">
              <w:t>Indicator</w:t>
            </w:r>
            <w:r>
              <w:t xml:space="preserve"> Description</w:t>
            </w:r>
          </w:p>
        </w:tc>
        <w:tc>
          <w:tcPr>
            <w:tcW w:w="2520" w:type="dxa"/>
            <w:shd w:val="clear" w:color="auto" w:fill="F2F2F2" w:themeFill="background1" w:themeFillShade="F2"/>
            <w:vAlign w:val="center"/>
          </w:tcPr>
          <w:p w:rsidR="00455BAB" w:rsidRDefault="00A57CC4" w:rsidP="00DF2F5C">
            <w:pPr>
              <w:jc w:val="center"/>
            </w:pPr>
            <w:r>
              <w:t>201</w:t>
            </w:r>
            <w:r w:rsidR="00DF2F5C">
              <w:t>9</w:t>
            </w:r>
            <w:r>
              <w:t>-20</w:t>
            </w:r>
            <w:r w:rsidR="00DF2F5C">
              <w:t>20</w:t>
            </w:r>
            <w:r w:rsidR="00E20AC2">
              <w:t xml:space="preserve"> State</w:t>
            </w:r>
            <w:r w:rsidR="00455BAB">
              <w:t xml:space="preserve"> Perf</w:t>
            </w:r>
            <w:r>
              <w:t>ormance (based on data from 201</w:t>
            </w:r>
            <w:r w:rsidR="00DF2F5C">
              <w:t>8</w:t>
            </w:r>
            <w:r>
              <w:t>-201</w:t>
            </w:r>
            <w:r w:rsidR="00DF2F5C">
              <w:t>9</w:t>
            </w:r>
            <w:r w:rsidR="00455BAB">
              <w:t>)</w:t>
            </w:r>
          </w:p>
        </w:tc>
        <w:tc>
          <w:tcPr>
            <w:tcW w:w="1620" w:type="dxa"/>
            <w:shd w:val="clear" w:color="auto" w:fill="F2F2F2" w:themeFill="background1" w:themeFillShade="F2"/>
            <w:vAlign w:val="center"/>
          </w:tcPr>
          <w:p w:rsidR="00455BAB" w:rsidRDefault="00A57CC4" w:rsidP="00DF2F5C">
            <w:pPr>
              <w:jc w:val="center"/>
            </w:pPr>
            <w:r>
              <w:t>201</w:t>
            </w:r>
            <w:r w:rsidR="00DF2F5C">
              <w:t>9</w:t>
            </w:r>
            <w:r>
              <w:t>-20</w:t>
            </w:r>
            <w:r w:rsidR="00DF2F5C">
              <w:t>20</w:t>
            </w:r>
            <w:r w:rsidR="00455BAB">
              <w:t xml:space="preserve"> State Target</w:t>
            </w:r>
          </w:p>
        </w:tc>
        <w:tc>
          <w:tcPr>
            <w:tcW w:w="1890" w:type="dxa"/>
            <w:shd w:val="clear" w:color="auto" w:fill="F2F2F2" w:themeFill="background1" w:themeFillShade="F2"/>
            <w:vAlign w:val="center"/>
          </w:tcPr>
          <w:p w:rsidR="00455BAB" w:rsidRDefault="00455BAB" w:rsidP="00EB21C0">
            <w:pPr>
              <w:jc w:val="center"/>
            </w:pPr>
            <w:r>
              <w:t>State Target Met</w:t>
            </w:r>
          </w:p>
        </w:tc>
      </w:tr>
      <w:bookmarkEnd w:id="2"/>
      <w:tr w:rsidR="00455BAB" w:rsidTr="00B10036">
        <w:tc>
          <w:tcPr>
            <w:tcW w:w="3888" w:type="dxa"/>
          </w:tcPr>
          <w:p w:rsidR="00455BAB" w:rsidRDefault="00455BAB" w:rsidP="00455BAB">
            <w:r>
              <w:t>Students with disabilities grades 7-12 who dropped out</w:t>
            </w:r>
          </w:p>
        </w:tc>
        <w:tc>
          <w:tcPr>
            <w:tcW w:w="2520" w:type="dxa"/>
            <w:vAlign w:val="center"/>
          </w:tcPr>
          <w:p w:rsidR="00455BAB" w:rsidRPr="009C4B7D" w:rsidRDefault="00451EBD" w:rsidP="00EB21C0">
            <w:pPr>
              <w:jc w:val="center"/>
            </w:pPr>
            <w:r>
              <w:t>1.42</w:t>
            </w:r>
            <w:r w:rsidR="00455BAB">
              <w:t>%</w:t>
            </w:r>
          </w:p>
        </w:tc>
        <w:tc>
          <w:tcPr>
            <w:tcW w:w="1620" w:type="dxa"/>
            <w:vAlign w:val="center"/>
          </w:tcPr>
          <w:p w:rsidR="00455BAB" w:rsidRPr="009C4B7D" w:rsidRDefault="00455BAB" w:rsidP="00EB21C0">
            <w:pPr>
              <w:jc w:val="center"/>
            </w:pPr>
            <w:r w:rsidRPr="006A2885">
              <w:t>≤</w:t>
            </w:r>
            <w:r w:rsidR="001A7C9E">
              <w:t>1.4</w:t>
            </w:r>
            <w:r>
              <w:t>0</w:t>
            </w:r>
            <w:r w:rsidRPr="009C4B7D">
              <w:t>%</w:t>
            </w:r>
          </w:p>
        </w:tc>
        <w:tc>
          <w:tcPr>
            <w:tcW w:w="1890" w:type="dxa"/>
            <w:vAlign w:val="center"/>
          </w:tcPr>
          <w:p w:rsidR="00455BAB" w:rsidRPr="009C4B7D" w:rsidRDefault="00842297" w:rsidP="00EB21C0">
            <w:pPr>
              <w:jc w:val="center"/>
            </w:pPr>
            <w:r>
              <w:rPr>
                <w:noProof/>
              </w:rPr>
              <w:t>No</w:t>
            </w:r>
          </w:p>
        </w:tc>
      </w:tr>
    </w:tbl>
    <w:p w:rsidR="00940461" w:rsidRDefault="00940461" w:rsidP="00CA2152"/>
    <w:p w:rsidR="007E5824" w:rsidRPr="00CA2152" w:rsidRDefault="007E5824" w:rsidP="00CA2152"/>
    <w:p w:rsidR="006D2BDF" w:rsidRDefault="00455BAB" w:rsidP="000702CB">
      <w:pPr>
        <w:pStyle w:val="Heading2"/>
      </w:pPr>
      <w:r w:rsidRPr="00455BAB">
        <w:rPr>
          <w:shd w:val="clear" w:color="auto" w:fill="FFFFFF"/>
        </w:rPr>
        <w:t>I</w:t>
      </w:r>
      <w:r w:rsidRPr="00455BAB">
        <w:t>ndicator 3: Participation and Performance on Statewide Assessments</w:t>
      </w:r>
    </w:p>
    <w:p w:rsidR="00451EBD" w:rsidRPr="004D3517" w:rsidRDefault="00451EBD" w:rsidP="004D3517">
      <w:pPr>
        <w:spacing w:after="0"/>
        <w:rPr>
          <w:sz w:val="10"/>
        </w:rPr>
      </w:pPr>
    </w:p>
    <w:p w:rsidR="004D3517" w:rsidRDefault="004D3517" w:rsidP="004D3517">
      <w:pPr>
        <w:pBdr>
          <w:top w:val="single" w:sz="4" w:space="1" w:color="auto"/>
          <w:left w:val="single" w:sz="4" w:space="4" w:color="auto"/>
          <w:bottom w:val="single" w:sz="4" w:space="1" w:color="auto"/>
          <w:right w:val="single" w:sz="4" w:space="4" w:color="auto"/>
        </w:pBdr>
      </w:pPr>
      <w:r w:rsidRPr="004E3422">
        <w:t>Due to the COVID-19 Pandemic, Virginia was granted a waiver by the U.S</w:t>
      </w:r>
      <w:r>
        <w:t xml:space="preserve"> Department of Education for the 2019-2020 school year</w:t>
      </w:r>
      <w:r w:rsidRPr="004E3422">
        <w:t xml:space="preserve"> of the assessment requirements in section 1111(b)(2) of the ESEA, the accountability and school identification requirements in sections 1111(c)(4) and 1111(d)(2)(C)-(D), and certain reporting requirements related to assessments and accountability in section 1111(h).</w:t>
      </w:r>
    </w:p>
    <w:p w:rsidR="00451EBD" w:rsidRDefault="00451EBD">
      <w:pPr>
        <w:rPr>
          <w:rFonts w:eastAsia="Times New Roman" w:cs="Times New Roman"/>
          <w:b/>
          <w:noProof/>
          <w:color w:val="1F497D" w:themeColor="text2"/>
          <w:sz w:val="32"/>
          <w:szCs w:val="32"/>
        </w:rPr>
      </w:pPr>
      <w:r>
        <w:br w:type="page"/>
      </w:r>
    </w:p>
    <w:p w:rsidR="00C22B6B" w:rsidRDefault="00C22B6B" w:rsidP="000702CB">
      <w:pPr>
        <w:pStyle w:val="Heading2"/>
      </w:pPr>
      <w:r>
        <w:lastRenderedPageBreak/>
        <w:t>Indicator 4: Suspension/Expulsion</w:t>
      </w:r>
    </w:p>
    <w:tbl>
      <w:tblPr>
        <w:tblStyle w:val="TableGrid1"/>
        <w:tblW w:w="9918" w:type="dxa"/>
        <w:tblLook w:val="04A0" w:firstRow="1" w:lastRow="0" w:firstColumn="1" w:lastColumn="0" w:noHBand="0" w:noVBand="1"/>
        <w:tblDescription w:val="Inidcator 4a: Suspension/Expulsion"/>
      </w:tblPr>
      <w:tblGrid>
        <w:gridCol w:w="4934"/>
        <w:gridCol w:w="1834"/>
        <w:gridCol w:w="1530"/>
        <w:gridCol w:w="1620"/>
      </w:tblGrid>
      <w:tr w:rsidR="00E546E9" w:rsidRPr="00E546E9" w:rsidTr="00E86845">
        <w:trPr>
          <w:trHeight w:val="692"/>
          <w:tblHeader/>
        </w:trPr>
        <w:tc>
          <w:tcPr>
            <w:tcW w:w="4934" w:type="dxa"/>
            <w:shd w:val="clear" w:color="auto" w:fill="F2F2F2" w:themeFill="background1" w:themeFillShade="F2"/>
            <w:vAlign w:val="center"/>
          </w:tcPr>
          <w:p w:rsidR="00E546E9" w:rsidRPr="00E546E9" w:rsidRDefault="00E546E9" w:rsidP="00E546E9">
            <w:bookmarkStart w:id="3" w:name="Title_6" w:colFirst="0" w:colLast="0"/>
            <w:r w:rsidRPr="00E546E9">
              <w:t>Indicator Description</w:t>
            </w:r>
          </w:p>
        </w:tc>
        <w:tc>
          <w:tcPr>
            <w:tcW w:w="1834" w:type="dxa"/>
            <w:shd w:val="clear" w:color="auto" w:fill="F2F2F2" w:themeFill="background1" w:themeFillShade="F2"/>
          </w:tcPr>
          <w:p w:rsidR="00E546E9" w:rsidRPr="00E546E9" w:rsidRDefault="00E546E9" w:rsidP="00DF2F5C">
            <w:pPr>
              <w:jc w:val="center"/>
            </w:pPr>
            <w:r w:rsidRPr="00E546E9">
              <w:t>201</w:t>
            </w:r>
            <w:r w:rsidR="00DF2F5C">
              <w:t>9</w:t>
            </w:r>
            <w:r w:rsidRPr="00E546E9">
              <w:t>-20</w:t>
            </w:r>
            <w:r w:rsidR="00DF2F5C">
              <w:t>20</w:t>
            </w:r>
            <w:r w:rsidRPr="00E546E9">
              <w:t xml:space="preserve"> State Performance</w:t>
            </w:r>
          </w:p>
        </w:tc>
        <w:tc>
          <w:tcPr>
            <w:tcW w:w="1530" w:type="dxa"/>
            <w:shd w:val="clear" w:color="auto" w:fill="F2F2F2" w:themeFill="background1" w:themeFillShade="F2"/>
          </w:tcPr>
          <w:p w:rsidR="00E546E9" w:rsidRPr="00E546E9" w:rsidRDefault="00E546E9" w:rsidP="00DF2F5C">
            <w:pPr>
              <w:jc w:val="center"/>
            </w:pPr>
            <w:r w:rsidRPr="00E546E9">
              <w:t>201</w:t>
            </w:r>
            <w:r w:rsidR="00DF2F5C">
              <w:t>9</w:t>
            </w:r>
            <w:r w:rsidRPr="00E546E9">
              <w:t>-20</w:t>
            </w:r>
            <w:r w:rsidR="00DF2F5C">
              <w:t>20</w:t>
            </w:r>
            <w:r w:rsidRPr="00E546E9">
              <w:t xml:space="preserve"> State Target</w:t>
            </w:r>
          </w:p>
        </w:tc>
        <w:tc>
          <w:tcPr>
            <w:tcW w:w="1620" w:type="dxa"/>
            <w:shd w:val="clear" w:color="auto" w:fill="F2F2F2" w:themeFill="background1" w:themeFillShade="F2"/>
          </w:tcPr>
          <w:p w:rsidR="00E546E9" w:rsidRPr="00E546E9" w:rsidRDefault="00E546E9" w:rsidP="00E546E9">
            <w:pPr>
              <w:jc w:val="center"/>
            </w:pPr>
            <w:r w:rsidRPr="00E546E9">
              <w:t>State Target Met</w:t>
            </w:r>
          </w:p>
        </w:tc>
      </w:tr>
      <w:bookmarkEnd w:id="3"/>
      <w:tr w:rsidR="00E546E9" w:rsidRPr="00E546E9" w:rsidTr="00E86845">
        <w:trPr>
          <w:tblHeader/>
        </w:trPr>
        <w:tc>
          <w:tcPr>
            <w:tcW w:w="4934" w:type="dxa"/>
            <w:vAlign w:val="center"/>
          </w:tcPr>
          <w:p w:rsidR="00E546E9" w:rsidRPr="00E546E9" w:rsidRDefault="00E546E9" w:rsidP="00E546E9">
            <w:r w:rsidRPr="00E546E9">
              <w:rPr>
                <w:b/>
              </w:rPr>
              <w:t>4a.</w:t>
            </w:r>
            <w:r w:rsidRPr="00E546E9">
              <w:t xml:space="preserve"> Percent of divisions identified with significant discrepancy in the rate of suspensions and expulsions of greater than 10 days in a school year for children with IEPs</w:t>
            </w:r>
          </w:p>
        </w:tc>
        <w:tc>
          <w:tcPr>
            <w:tcW w:w="1834" w:type="dxa"/>
            <w:vAlign w:val="center"/>
          </w:tcPr>
          <w:p w:rsidR="00E546E9" w:rsidRPr="00E546E9" w:rsidRDefault="00451EBD" w:rsidP="00E546E9">
            <w:pPr>
              <w:jc w:val="center"/>
            </w:pPr>
            <w:r>
              <w:t>41.57</w:t>
            </w:r>
            <w:r w:rsidR="00E546E9" w:rsidRPr="00E546E9">
              <w:t>%</w:t>
            </w:r>
          </w:p>
        </w:tc>
        <w:tc>
          <w:tcPr>
            <w:tcW w:w="1530" w:type="dxa"/>
            <w:vAlign w:val="center"/>
          </w:tcPr>
          <w:p w:rsidR="00E546E9" w:rsidRPr="00E546E9" w:rsidRDefault="00E546E9" w:rsidP="00E546E9">
            <w:pPr>
              <w:jc w:val="center"/>
            </w:pPr>
            <w:r w:rsidRPr="00E546E9">
              <w:t>0%</w:t>
            </w:r>
          </w:p>
        </w:tc>
        <w:tc>
          <w:tcPr>
            <w:tcW w:w="1620" w:type="dxa"/>
            <w:vAlign w:val="center"/>
          </w:tcPr>
          <w:p w:rsidR="00E546E9" w:rsidRPr="00E546E9" w:rsidRDefault="00E546E9" w:rsidP="00E546E9">
            <w:pPr>
              <w:jc w:val="center"/>
            </w:pPr>
            <w:r w:rsidRPr="00E546E9">
              <w:t>No</w:t>
            </w:r>
          </w:p>
        </w:tc>
      </w:tr>
      <w:tr w:rsidR="00E546E9" w:rsidRPr="00E546E9" w:rsidTr="00E86845">
        <w:trPr>
          <w:tblHeader/>
        </w:trPr>
        <w:tc>
          <w:tcPr>
            <w:tcW w:w="4934" w:type="dxa"/>
            <w:vAlign w:val="center"/>
          </w:tcPr>
          <w:p w:rsidR="00E546E9" w:rsidRPr="00E546E9" w:rsidRDefault="00E546E9" w:rsidP="00E546E9">
            <w:r w:rsidRPr="00E546E9">
              <w:t>Percent of divisions identified with significant discrepancy in rate of suspensions and expulsions of greater than 10 days in a school year for children with IEPs and policies, procedures or practices that contributed to the significant discrepancy; and do not comply with requirements relating to the development and implementation of IEPs, the use of positive behavioral interventions and supports, and procedural safeguards.</w:t>
            </w:r>
          </w:p>
        </w:tc>
        <w:tc>
          <w:tcPr>
            <w:tcW w:w="1834" w:type="dxa"/>
            <w:vAlign w:val="center"/>
          </w:tcPr>
          <w:p w:rsidR="00E546E9" w:rsidRPr="00E546E9" w:rsidRDefault="00451EBD" w:rsidP="00E546E9">
            <w:pPr>
              <w:jc w:val="center"/>
            </w:pPr>
            <w:r>
              <w:t>2.70</w:t>
            </w:r>
            <w:r w:rsidR="00E546E9" w:rsidRPr="00AF4B4B">
              <w:t>%</w:t>
            </w:r>
          </w:p>
        </w:tc>
        <w:tc>
          <w:tcPr>
            <w:tcW w:w="1530" w:type="dxa"/>
            <w:vAlign w:val="center"/>
          </w:tcPr>
          <w:p w:rsidR="00E546E9" w:rsidRPr="00E546E9" w:rsidRDefault="00E546E9" w:rsidP="00E546E9">
            <w:pPr>
              <w:jc w:val="center"/>
            </w:pPr>
            <w:r w:rsidRPr="00E546E9">
              <w:t>0%</w:t>
            </w:r>
          </w:p>
        </w:tc>
        <w:tc>
          <w:tcPr>
            <w:tcW w:w="1620" w:type="dxa"/>
            <w:vAlign w:val="center"/>
          </w:tcPr>
          <w:p w:rsidR="00E546E9" w:rsidRPr="00E546E9" w:rsidRDefault="00E546E9" w:rsidP="00E546E9">
            <w:pPr>
              <w:jc w:val="center"/>
            </w:pPr>
            <w:r w:rsidRPr="00E546E9">
              <w:t>No</w:t>
            </w:r>
          </w:p>
        </w:tc>
      </w:tr>
      <w:tr w:rsidR="00E546E9" w:rsidRPr="00E546E9" w:rsidTr="00E86845">
        <w:trPr>
          <w:tblHeader/>
        </w:trPr>
        <w:tc>
          <w:tcPr>
            <w:tcW w:w="4934" w:type="dxa"/>
            <w:vAlign w:val="center"/>
          </w:tcPr>
          <w:p w:rsidR="00E546E9" w:rsidRPr="00E546E9" w:rsidRDefault="00E546E9" w:rsidP="00E546E9">
            <w:r w:rsidRPr="00E546E9">
              <w:rPr>
                <w:b/>
              </w:rPr>
              <w:t>4b.</w:t>
            </w:r>
            <w:r w:rsidRPr="00E546E9">
              <w:t xml:space="preserve"> Percent of division</w:t>
            </w:r>
            <w:r w:rsidR="00964E04">
              <w:t>s</w:t>
            </w:r>
            <w:r w:rsidRPr="00E546E9">
              <w:t xml:space="preserve"> identified with significant discrepancy, by race or ethnicity, in the rate of suspensions and expulsions of greater than 10 days in a school year for children with IEPs</w:t>
            </w:r>
          </w:p>
        </w:tc>
        <w:tc>
          <w:tcPr>
            <w:tcW w:w="1834" w:type="dxa"/>
            <w:vAlign w:val="center"/>
          </w:tcPr>
          <w:p w:rsidR="00E546E9" w:rsidRPr="00E546E9" w:rsidRDefault="00451EBD" w:rsidP="00E546E9">
            <w:pPr>
              <w:jc w:val="center"/>
            </w:pPr>
            <w:r>
              <w:t>9.09</w:t>
            </w:r>
            <w:r w:rsidR="00E546E9" w:rsidRPr="00E546E9">
              <w:t>%</w:t>
            </w:r>
          </w:p>
        </w:tc>
        <w:tc>
          <w:tcPr>
            <w:tcW w:w="1530" w:type="dxa"/>
            <w:vAlign w:val="center"/>
          </w:tcPr>
          <w:p w:rsidR="00E546E9" w:rsidRPr="00E546E9" w:rsidRDefault="00E546E9" w:rsidP="00E546E9">
            <w:pPr>
              <w:jc w:val="center"/>
            </w:pPr>
            <w:r w:rsidRPr="00E546E9">
              <w:t>0%</w:t>
            </w:r>
          </w:p>
        </w:tc>
        <w:tc>
          <w:tcPr>
            <w:tcW w:w="1620" w:type="dxa"/>
            <w:vAlign w:val="center"/>
          </w:tcPr>
          <w:p w:rsidR="00E546E9" w:rsidRPr="00E546E9" w:rsidRDefault="00E546E9" w:rsidP="00E546E9">
            <w:pPr>
              <w:jc w:val="center"/>
            </w:pPr>
            <w:r w:rsidRPr="00E546E9">
              <w:t>No</w:t>
            </w:r>
          </w:p>
        </w:tc>
      </w:tr>
      <w:tr w:rsidR="00E546E9" w:rsidRPr="00E546E9" w:rsidTr="00E86845">
        <w:trPr>
          <w:tblHeader/>
        </w:trPr>
        <w:tc>
          <w:tcPr>
            <w:tcW w:w="4934" w:type="dxa"/>
            <w:vAlign w:val="center"/>
          </w:tcPr>
          <w:p w:rsidR="00E546E9" w:rsidRPr="00E546E9" w:rsidRDefault="00E546E9" w:rsidP="00E546E9">
            <w:pPr>
              <w:rPr>
                <w:b/>
              </w:rPr>
            </w:pPr>
            <w:r w:rsidRPr="00E546E9">
              <w:t>Percent of divisions identified with significant discrepancy, by race or ethnicity, in rate of suspensions and expulsions of greater than 10 days in a school year for children with IEPs and policies, procedures or practices that contributed to the significant discrepancy; and do not comply with requirements relating to the development and implementation of IEPs, the use of positive behavioral interventions and supports, and procedural safeguards.</w:t>
            </w:r>
          </w:p>
        </w:tc>
        <w:tc>
          <w:tcPr>
            <w:tcW w:w="1834" w:type="dxa"/>
            <w:vAlign w:val="center"/>
          </w:tcPr>
          <w:p w:rsidR="00E546E9" w:rsidRPr="00E546E9" w:rsidRDefault="00943537" w:rsidP="00E546E9">
            <w:pPr>
              <w:jc w:val="center"/>
            </w:pPr>
            <w:r>
              <w:t>0</w:t>
            </w:r>
            <w:r w:rsidR="00E546E9" w:rsidRPr="00E546E9">
              <w:t>%</w:t>
            </w:r>
          </w:p>
        </w:tc>
        <w:tc>
          <w:tcPr>
            <w:tcW w:w="1530" w:type="dxa"/>
            <w:vAlign w:val="center"/>
          </w:tcPr>
          <w:p w:rsidR="00E546E9" w:rsidRPr="00E546E9" w:rsidRDefault="00E546E9" w:rsidP="00E546E9">
            <w:pPr>
              <w:jc w:val="center"/>
            </w:pPr>
            <w:r w:rsidRPr="00E546E9">
              <w:t>0%</w:t>
            </w:r>
          </w:p>
        </w:tc>
        <w:tc>
          <w:tcPr>
            <w:tcW w:w="1620" w:type="dxa"/>
            <w:vAlign w:val="center"/>
          </w:tcPr>
          <w:p w:rsidR="00E546E9" w:rsidRPr="00E546E9" w:rsidRDefault="00943537" w:rsidP="00E546E9">
            <w:pPr>
              <w:jc w:val="center"/>
            </w:pPr>
            <w:r>
              <w:t>Yes</w:t>
            </w:r>
          </w:p>
        </w:tc>
      </w:tr>
    </w:tbl>
    <w:p w:rsidR="00B10036" w:rsidRDefault="00B10036" w:rsidP="007E6251"/>
    <w:p w:rsidR="007E5824" w:rsidRPr="007E6251" w:rsidRDefault="007E5824" w:rsidP="007E6251"/>
    <w:p w:rsidR="00D22414" w:rsidRDefault="00D22414"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D22414" w:rsidTr="00B10036">
        <w:trPr>
          <w:tblHeader/>
        </w:trPr>
        <w:tc>
          <w:tcPr>
            <w:tcW w:w="4492" w:type="dxa"/>
            <w:shd w:val="clear" w:color="auto" w:fill="F2F2F2" w:themeFill="background1" w:themeFillShade="F2"/>
            <w:vAlign w:val="center"/>
          </w:tcPr>
          <w:p w:rsidR="00D22414" w:rsidRDefault="00B10036" w:rsidP="00B10036">
            <w:bookmarkStart w:id="4" w:name="Title_8" w:colFirst="0" w:colLast="0"/>
            <w:r w:rsidRPr="00B10036">
              <w:t>Indicator</w:t>
            </w:r>
            <w:r>
              <w:t xml:space="preserve"> Description</w:t>
            </w:r>
          </w:p>
        </w:tc>
        <w:tc>
          <w:tcPr>
            <w:tcW w:w="2006" w:type="dxa"/>
            <w:shd w:val="clear" w:color="auto" w:fill="F2F2F2" w:themeFill="background1" w:themeFillShade="F2"/>
            <w:vAlign w:val="center"/>
          </w:tcPr>
          <w:p w:rsidR="00D22414" w:rsidRPr="009C4B7D" w:rsidRDefault="00A57CC4" w:rsidP="00D22414">
            <w:pPr>
              <w:jc w:val="center"/>
            </w:pPr>
            <w:r>
              <w:t>201</w:t>
            </w:r>
            <w:r w:rsidR="00DF2F5C">
              <w:t>9</w:t>
            </w:r>
            <w:r>
              <w:t>-20</w:t>
            </w:r>
            <w:r w:rsidR="00DF2F5C">
              <w:t>20</w:t>
            </w:r>
          </w:p>
          <w:p w:rsidR="00D22414" w:rsidRPr="009C4B7D" w:rsidRDefault="00E20AC2" w:rsidP="00D22414">
            <w:pPr>
              <w:jc w:val="center"/>
            </w:pPr>
            <w:r>
              <w:t>State</w:t>
            </w:r>
          </w:p>
          <w:p w:rsidR="00D22414" w:rsidRPr="009C4B7D" w:rsidRDefault="00D22414" w:rsidP="00D22414">
            <w:pPr>
              <w:jc w:val="center"/>
            </w:pPr>
            <w:r w:rsidRPr="009C4B7D">
              <w:t>Performance</w:t>
            </w:r>
          </w:p>
        </w:tc>
        <w:tc>
          <w:tcPr>
            <w:tcW w:w="1347" w:type="dxa"/>
            <w:shd w:val="clear" w:color="auto" w:fill="F2F2F2" w:themeFill="background1" w:themeFillShade="F2"/>
            <w:vAlign w:val="center"/>
          </w:tcPr>
          <w:p w:rsidR="00D22414" w:rsidRPr="009C4B7D" w:rsidRDefault="00D22414" w:rsidP="00D22414">
            <w:pPr>
              <w:jc w:val="center"/>
            </w:pPr>
            <w:r>
              <w:t>201</w:t>
            </w:r>
            <w:r w:rsidR="00DF2F5C">
              <w:t>9</w:t>
            </w:r>
            <w:r w:rsidR="00A57CC4">
              <w:t>-20</w:t>
            </w:r>
            <w:r w:rsidR="00DF2F5C">
              <w:t>20</w:t>
            </w:r>
          </w:p>
          <w:p w:rsidR="00D22414" w:rsidRPr="009C4B7D" w:rsidRDefault="00D22414" w:rsidP="00D22414">
            <w:pPr>
              <w:jc w:val="center"/>
            </w:pPr>
            <w:r w:rsidRPr="009C4B7D">
              <w:t>State Target</w:t>
            </w:r>
          </w:p>
        </w:tc>
        <w:tc>
          <w:tcPr>
            <w:tcW w:w="2163" w:type="dxa"/>
            <w:shd w:val="clear" w:color="auto" w:fill="F2F2F2" w:themeFill="background1" w:themeFillShade="F2"/>
            <w:vAlign w:val="center"/>
          </w:tcPr>
          <w:p w:rsidR="00D22414" w:rsidRPr="009C4B7D" w:rsidRDefault="00D22414" w:rsidP="00D22414">
            <w:pPr>
              <w:jc w:val="center"/>
            </w:pPr>
            <w:r w:rsidRPr="009C4B7D">
              <w:t>State Target</w:t>
            </w:r>
          </w:p>
          <w:p w:rsidR="00D22414" w:rsidRPr="009C4B7D" w:rsidRDefault="00D22414" w:rsidP="00D22414">
            <w:pPr>
              <w:jc w:val="center"/>
            </w:pPr>
            <w:r w:rsidRPr="009C4B7D">
              <w:t>Met</w:t>
            </w:r>
          </w:p>
        </w:tc>
      </w:tr>
      <w:bookmarkEnd w:id="4"/>
      <w:tr w:rsidR="00D22414" w:rsidTr="00B10036">
        <w:tc>
          <w:tcPr>
            <w:tcW w:w="4492" w:type="dxa"/>
            <w:vAlign w:val="center"/>
          </w:tcPr>
          <w:p w:rsidR="00D22414" w:rsidRPr="009C4B7D" w:rsidRDefault="00D22414" w:rsidP="00EB21C0">
            <w:r w:rsidRPr="009C4B7D">
              <w:rPr>
                <w:b/>
              </w:rPr>
              <w:t>5a.</w:t>
            </w:r>
            <w:r w:rsidRPr="009C4B7D">
              <w:t xml:space="preserve"> Students included in regular classroom 80% or more of the day</w:t>
            </w:r>
          </w:p>
        </w:tc>
        <w:tc>
          <w:tcPr>
            <w:tcW w:w="2006" w:type="dxa"/>
            <w:vAlign w:val="center"/>
          </w:tcPr>
          <w:p w:rsidR="00D22414" w:rsidRPr="009C4B7D" w:rsidRDefault="00AF1420" w:rsidP="00EB21C0">
            <w:pPr>
              <w:jc w:val="center"/>
            </w:pPr>
            <w:r>
              <w:t>67.78</w:t>
            </w:r>
            <w:r w:rsidR="00D22414">
              <w:t>%</w:t>
            </w:r>
          </w:p>
        </w:tc>
        <w:tc>
          <w:tcPr>
            <w:tcW w:w="1347" w:type="dxa"/>
            <w:vAlign w:val="center"/>
          </w:tcPr>
          <w:p w:rsidR="00D22414" w:rsidRPr="009C4B7D" w:rsidRDefault="00D22414" w:rsidP="00EB21C0">
            <w:pPr>
              <w:jc w:val="center"/>
            </w:pPr>
            <w:r w:rsidRPr="006A2885">
              <w:t>≥</w:t>
            </w:r>
            <w:r w:rsidR="00721C4C">
              <w:t>70</w:t>
            </w:r>
            <w:r>
              <w:t>.0</w:t>
            </w:r>
            <w:r w:rsidRPr="009C4B7D">
              <w:t>%</w:t>
            </w:r>
          </w:p>
        </w:tc>
        <w:tc>
          <w:tcPr>
            <w:tcW w:w="2163" w:type="dxa"/>
            <w:vAlign w:val="center"/>
          </w:tcPr>
          <w:p w:rsidR="00D22414" w:rsidRPr="009C4B7D" w:rsidRDefault="00842297" w:rsidP="00EB21C0">
            <w:pPr>
              <w:jc w:val="center"/>
            </w:pPr>
            <w:r>
              <w:rPr>
                <w:noProof/>
              </w:rPr>
              <w:t>No</w:t>
            </w:r>
          </w:p>
        </w:tc>
      </w:tr>
      <w:tr w:rsidR="00D22414" w:rsidTr="00B10036">
        <w:tc>
          <w:tcPr>
            <w:tcW w:w="4492" w:type="dxa"/>
            <w:vAlign w:val="center"/>
          </w:tcPr>
          <w:p w:rsidR="00D22414" w:rsidRPr="009C4B7D" w:rsidRDefault="00D22414" w:rsidP="00EB21C0">
            <w:r w:rsidRPr="009C4B7D">
              <w:rPr>
                <w:b/>
              </w:rPr>
              <w:t>5b.</w:t>
            </w:r>
            <w:r w:rsidRPr="009C4B7D">
              <w:t xml:space="preserve"> Students included in regular classroom less than 40% of the day</w:t>
            </w:r>
          </w:p>
        </w:tc>
        <w:tc>
          <w:tcPr>
            <w:tcW w:w="2006" w:type="dxa"/>
            <w:vAlign w:val="center"/>
          </w:tcPr>
          <w:p w:rsidR="00D22414" w:rsidRPr="009C4B7D" w:rsidRDefault="00AF1420" w:rsidP="00EB21C0">
            <w:pPr>
              <w:jc w:val="center"/>
            </w:pPr>
            <w:r>
              <w:t>9.15</w:t>
            </w:r>
            <w:r w:rsidR="00842297">
              <w:t>%</w:t>
            </w:r>
          </w:p>
        </w:tc>
        <w:tc>
          <w:tcPr>
            <w:tcW w:w="1347" w:type="dxa"/>
            <w:vAlign w:val="center"/>
          </w:tcPr>
          <w:p w:rsidR="00D22414" w:rsidRPr="009C4B7D" w:rsidRDefault="00D22414" w:rsidP="00EB21C0">
            <w:pPr>
              <w:jc w:val="center"/>
            </w:pPr>
            <w:r w:rsidRPr="006A2885">
              <w:t>≤</w:t>
            </w:r>
            <w:r w:rsidR="00721C4C">
              <w:t>8</w:t>
            </w:r>
            <w:r>
              <w:t>.0</w:t>
            </w:r>
            <w:r w:rsidRPr="009C4B7D">
              <w:t>%</w:t>
            </w:r>
          </w:p>
        </w:tc>
        <w:tc>
          <w:tcPr>
            <w:tcW w:w="2163" w:type="dxa"/>
            <w:vAlign w:val="center"/>
          </w:tcPr>
          <w:p w:rsidR="00D22414" w:rsidRPr="009C4B7D" w:rsidRDefault="00842297" w:rsidP="00EB21C0">
            <w:pPr>
              <w:jc w:val="center"/>
            </w:pPr>
            <w:r>
              <w:rPr>
                <w:noProof/>
              </w:rPr>
              <w:t>No</w:t>
            </w:r>
          </w:p>
        </w:tc>
      </w:tr>
      <w:tr w:rsidR="00D22414" w:rsidTr="00B10036">
        <w:tc>
          <w:tcPr>
            <w:tcW w:w="4492" w:type="dxa"/>
            <w:vAlign w:val="center"/>
          </w:tcPr>
          <w:p w:rsidR="00D22414" w:rsidRPr="009C4B7D" w:rsidRDefault="00D22414" w:rsidP="00EB21C0">
            <w:r w:rsidRPr="009C4B7D">
              <w:rPr>
                <w:b/>
              </w:rPr>
              <w:t>5c.</w:t>
            </w:r>
            <w:r w:rsidRPr="009C4B7D">
              <w:t xml:space="preserve"> Students served in separate public or private school, residential, home-based or hospital facility</w:t>
            </w:r>
          </w:p>
        </w:tc>
        <w:tc>
          <w:tcPr>
            <w:tcW w:w="2006" w:type="dxa"/>
            <w:vAlign w:val="center"/>
          </w:tcPr>
          <w:p w:rsidR="00D22414" w:rsidRPr="009C4B7D" w:rsidRDefault="00AF1420" w:rsidP="00EB21C0">
            <w:pPr>
              <w:jc w:val="center"/>
            </w:pPr>
            <w:r>
              <w:t>4.51</w:t>
            </w:r>
            <w:r w:rsidR="00842297">
              <w:t>%</w:t>
            </w:r>
          </w:p>
        </w:tc>
        <w:tc>
          <w:tcPr>
            <w:tcW w:w="1347" w:type="dxa"/>
            <w:vAlign w:val="center"/>
          </w:tcPr>
          <w:p w:rsidR="00D22414" w:rsidRPr="009C4B7D" w:rsidRDefault="00D22414" w:rsidP="00EB21C0">
            <w:pPr>
              <w:jc w:val="center"/>
            </w:pPr>
            <w:r w:rsidRPr="006A2885">
              <w:t>≤</w:t>
            </w:r>
            <w:r w:rsidR="00721C4C">
              <w:t>2.5</w:t>
            </w:r>
            <w:r w:rsidRPr="009C4B7D">
              <w:t>%</w:t>
            </w:r>
          </w:p>
        </w:tc>
        <w:tc>
          <w:tcPr>
            <w:tcW w:w="2163" w:type="dxa"/>
            <w:vAlign w:val="center"/>
          </w:tcPr>
          <w:p w:rsidR="00D22414" w:rsidRPr="009C4B7D" w:rsidRDefault="00842297" w:rsidP="00EB21C0">
            <w:pPr>
              <w:jc w:val="center"/>
            </w:pPr>
            <w:r>
              <w:rPr>
                <w:noProof/>
              </w:rPr>
              <w:t>No</w:t>
            </w:r>
          </w:p>
        </w:tc>
      </w:tr>
    </w:tbl>
    <w:p w:rsidR="00940461" w:rsidRDefault="00940461" w:rsidP="00940461"/>
    <w:p w:rsidR="007E5824" w:rsidRDefault="007E5824" w:rsidP="00940461"/>
    <w:p w:rsidR="00EC0483" w:rsidRDefault="00EC0483" w:rsidP="000702CB">
      <w:pPr>
        <w:pStyle w:val="Heading2"/>
      </w:pPr>
      <w:r>
        <w:lastRenderedPageBreak/>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D443C8" w:rsidTr="00EB21C0">
        <w:trPr>
          <w:tblHeader/>
        </w:trPr>
        <w:tc>
          <w:tcPr>
            <w:tcW w:w="5778" w:type="dxa"/>
            <w:shd w:val="clear" w:color="auto" w:fill="F2F2F2" w:themeFill="background1" w:themeFillShade="F2"/>
            <w:vAlign w:val="center"/>
          </w:tcPr>
          <w:p w:rsidR="00EC0483" w:rsidRDefault="00B10036" w:rsidP="00EB21C0">
            <w:bookmarkStart w:id="5" w:name="Title_9" w:colFirst="0" w:colLast="0"/>
            <w:r w:rsidRPr="00B10036">
              <w:t>Indicator</w:t>
            </w:r>
            <w:r>
              <w:t xml:space="preserve"> Description</w:t>
            </w:r>
          </w:p>
        </w:tc>
        <w:tc>
          <w:tcPr>
            <w:tcW w:w="1530" w:type="dxa"/>
            <w:shd w:val="clear" w:color="auto" w:fill="F2F2F2" w:themeFill="background1" w:themeFillShade="F2"/>
            <w:vAlign w:val="center"/>
          </w:tcPr>
          <w:p w:rsidR="00EC0483" w:rsidRPr="009C4B7D" w:rsidRDefault="00EC0483" w:rsidP="00EB21C0">
            <w:pPr>
              <w:jc w:val="center"/>
            </w:pPr>
            <w:r>
              <w:t>201</w:t>
            </w:r>
            <w:r w:rsidR="00DF2F5C">
              <w:t>9</w:t>
            </w:r>
            <w:r>
              <w:t>-20</w:t>
            </w:r>
            <w:r w:rsidR="00DF2F5C">
              <w:t>20</w:t>
            </w:r>
          </w:p>
          <w:p w:rsidR="00EC0483" w:rsidRPr="009C4B7D" w:rsidRDefault="00E20AC2" w:rsidP="00EB21C0">
            <w:pPr>
              <w:jc w:val="center"/>
            </w:pPr>
            <w:r>
              <w:t>State</w:t>
            </w:r>
          </w:p>
          <w:p w:rsidR="00EC0483" w:rsidRPr="009C4B7D" w:rsidRDefault="00EC0483" w:rsidP="00EB21C0">
            <w:pPr>
              <w:jc w:val="center"/>
            </w:pPr>
            <w:r w:rsidRPr="009C4B7D">
              <w:t>Performance</w:t>
            </w:r>
            <w:r>
              <w:t xml:space="preserve"> </w:t>
            </w:r>
          </w:p>
        </w:tc>
        <w:tc>
          <w:tcPr>
            <w:tcW w:w="1350" w:type="dxa"/>
            <w:shd w:val="clear" w:color="auto" w:fill="F2F2F2" w:themeFill="background1" w:themeFillShade="F2"/>
            <w:vAlign w:val="center"/>
          </w:tcPr>
          <w:p w:rsidR="00EC0483" w:rsidRPr="009C4B7D" w:rsidRDefault="00EC0483" w:rsidP="00EB21C0">
            <w:pPr>
              <w:jc w:val="center"/>
            </w:pPr>
            <w:r>
              <w:t>201</w:t>
            </w:r>
            <w:r w:rsidR="00DF2F5C">
              <w:t>9</w:t>
            </w:r>
            <w:r>
              <w:t>-20</w:t>
            </w:r>
            <w:r w:rsidR="00DF2F5C">
              <w:t>20</w:t>
            </w:r>
          </w:p>
          <w:p w:rsidR="00EC0483" w:rsidRPr="009C4B7D" w:rsidRDefault="00EC0483" w:rsidP="00EB21C0">
            <w:pPr>
              <w:jc w:val="center"/>
            </w:pPr>
            <w:r w:rsidRPr="009C4B7D">
              <w:t xml:space="preserve">State </w:t>
            </w:r>
            <w:r>
              <w:t>Target</w:t>
            </w:r>
          </w:p>
        </w:tc>
        <w:tc>
          <w:tcPr>
            <w:tcW w:w="1350" w:type="dxa"/>
            <w:shd w:val="clear" w:color="auto" w:fill="F2F2F2" w:themeFill="background1" w:themeFillShade="F2"/>
            <w:vAlign w:val="center"/>
          </w:tcPr>
          <w:p w:rsidR="00EC0483" w:rsidRDefault="00EC0483" w:rsidP="00EB21C0">
            <w:pPr>
              <w:jc w:val="center"/>
            </w:pPr>
            <w:r w:rsidRPr="009C4B7D">
              <w:t>State Target</w:t>
            </w:r>
          </w:p>
          <w:p w:rsidR="00EC0483" w:rsidRPr="009C4B7D" w:rsidRDefault="00EC0483" w:rsidP="00EB21C0">
            <w:pPr>
              <w:jc w:val="center"/>
            </w:pPr>
            <w:r>
              <w:t>Met</w:t>
            </w:r>
          </w:p>
        </w:tc>
      </w:tr>
      <w:bookmarkEnd w:id="5"/>
      <w:tr w:rsidR="00D443C8" w:rsidTr="00B10036">
        <w:tc>
          <w:tcPr>
            <w:tcW w:w="5778" w:type="dxa"/>
            <w:vAlign w:val="center"/>
          </w:tcPr>
          <w:p w:rsidR="00EC0483" w:rsidRPr="009C4B7D" w:rsidRDefault="00EC0483" w:rsidP="00EB21C0">
            <w:r w:rsidRPr="009C4B7D">
              <w:rPr>
                <w:b/>
              </w:rPr>
              <w:t>6a.</w:t>
            </w:r>
            <w:r w:rsidRPr="009C4B7D">
              <w:t xml:space="preserve"> Children aged 3 through 5 with IEPs attend a regular early childhood program and receive the majority of special education and related services in the regular early childhood program</w:t>
            </w:r>
          </w:p>
        </w:tc>
        <w:tc>
          <w:tcPr>
            <w:tcW w:w="1530" w:type="dxa"/>
            <w:vAlign w:val="center"/>
          </w:tcPr>
          <w:p w:rsidR="00EC0483" w:rsidRPr="009C4B7D" w:rsidRDefault="00DA389C" w:rsidP="00EB21C0">
            <w:pPr>
              <w:jc w:val="center"/>
            </w:pPr>
            <w:r>
              <w:t>33.95</w:t>
            </w:r>
            <w:r w:rsidR="00EC0483">
              <w:t>%</w:t>
            </w:r>
          </w:p>
        </w:tc>
        <w:tc>
          <w:tcPr>
            <w:tcW w:w="1350" w:type="dxa"/>
            <w:vAlign w:val="center"/>
          </w:tcPr>
          <w:p w:rsidR="00EC0483" w:rsidRPr="009C4B7D" w:rsidRDefault="00EC0483" w:rsidP="00EB21C0">
            <w:pPr>
              <w:jc w:val="center"/>
            </w:pPr>
            <w:r w:rsidRPr="006A2885">
              <w:t>≥</w:t>
            </w:r>
            <w:r w:rsidR="00AF1420">
              <w:t>34</w:t>
            </w:r>
            <w:r>
              <w:t>.0</w:t>
            </w:r>
            <w:r w:rsidRPr="009C4B7D">
              <w:t>%</w:t>
            </w:r>
          </w:p>
        </w:tc>
        <w:tc>
          <w:tcPr>
            <w:tcW w:w="1350" w:type="dxa"/>
            <w:vAlign w:val="center"/>
          </w:tcPr>
          <w:p w:rsidR="00EC0483" w:rsidRPr="00CB2EF7" w:rsidRDefault="0024000B" w:rsidP="00EB21C0">
            <w:pPr>
              <w:jc w:val="center"/>
            </w:pPr>
            <w:r>
              <w:rPr>
                <w:noProof/>
              </w:rPr>
              <w:t>No</w:t>
            </w:r>
          </w:p>
        </w:tc>
      </w:tr>
      <w:tr w:rsidR="00D443C8" w:rsidTr="00B10036">
        <w:tc>
          <w:tcPr>
            <w:tcW w:w="5778" w:type="dxa"/>
            <w:vAlign w:val="center"/>
          </w:tcPr>
          <w:p w:rsidR="00EC0483" w:rsidRPr="009C4B7D" w:rsidRDefault="00EC0483" w:rsidP="00EB21C0">
            <w:r w:rsidRPr="009C4B7D">
              <w:rPr>
                <w:b/>
              </w:rPr>
              <w:t>6b</w:t>
            </w:r>
            <w:r w:rsidRPr="009C4B7D">
              <w:t>. Children aged 3 through 5 with IEPs attend a separate special education class, separate school, or residential facility</w:t>
            </w:r>
          </w:p>
        </w:tc>
        <w:tc>
          <w:tcPr>
            <w:tcW w:w="1530" w:type="dxa"/>
            <w:vAlign w:val="center"/>
          </w:tcPr>
          <w:p w:rsidR="00EC0483" w:rsidRPr="009C4B7D" w:rsidRDefault="00DA389C" w:rsidP="00EB21C0">
            <w:pPr>
              <w:jc w:val="center"/>
            </w:pPr>
            <w:r>
              <w:t>28.92</w:t>
            </w:r>
            <w:r w:rsidR="00842297">
              <w:t>%</w:t>
            </w:r>
          </w:p>
        </w:tc>
        <w:tc>
          <w:tcPr>
            <w:tcW w:w="1350" w:type="dxa"/>
            <w:vAlign w:val="center"/>
          </w:tcPr>
          <w:p w:rsidR="00EC0483" w:rsidRPr="009C4B7D" w:rsidRDefault="00EC0483" w:rsidP="00EB21C0">
            <w:pPr>
              <w:jc w:val="center"/>
            </w:pPr>
            <w:r w:rsidRPr="00B50CB1">
              <w:t>≤</w:t>
            </w:r>
            <w:r w:rsidR="00AF1420">
              <w:t>26</w:t>
            </w:r>
            <w:r>
              <w:t>.0</w:t>
            </w:r>
            <w:r w:rsidRPr="009C4B7D">
              <w:t>%</w:t>
            </w:r>
          </w:p>
        </w:tc>
        <w:tc>
          <w:tcPr>
            <w:tcW w:w="1350" w:type="dxa"/>
            <w:vAlign w:val="center"/>
          </w:tcPr>
          <w:p w:rsidR="00EC0483" w:rsidRPr="00CB2EF7" w:rsidRDefault="00842297" w:rsidP="00EB21C0">
            <w:pPr>
              <w:jc w:val="center"/>
            </w:pPr>
            <w:r>
              <w:rPr>
                <w:noProof/>
              </w:rPr>
              <w:t>No</w:t>
            </w:r>
          </w:p>
        </w:tc>
      </w:tr>
    </w:tbl>
    <w:p w:rsidR="00842297" w:rsidRDefault="00842297" w:rsidP="00B37861"/>
    <w:p w:rsidR="007E5824" w:rsidRPr="00B37861" w:rsidRDefault="007E5824" w:rsidP="00B37861"/>
    <w:p w:rsidR="00D443C8" w:rsidRDefault="00D443C8"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3078"/>
        <w:gridCol w:w="1710"/>
        <w:gridCol w:w="2070"/>
        <w:gridCol w:w="1260"/>
        <w:gridCol w:w="1890"/>
      </w:tblGrid>
      <w:tr w:rsidR="00087A94" w:rsidTr="00EB21C0">
        <w:trPr>
          <w:tblHeader/>
        </w:trPr>
        <w:tc>
          <w:tcPr>
            <w:tcW w:w="3078" w:type="dxa"/>
            <w:tcBorders>
              <w:bottom w:val="single" w:sz="4" w:space="0" w:color="auto"/>
            </w:tcBorders>
            <w:shd w:val="clear" w:color="auto" w:fill="F2F2F2" w:themeFill="background1" w:themeFillShade="F2"/>
            <w:vAlign w:val="center"/>
          </w:tcPr>
          <w:p w:rsidR="00D443C8" w:rsidRDefault="00B10036" w:rsidP="00EB21C0">
            <w:bookmarkStart w:id="6" w:name="Title_10" w:colFirst="0" w:colLast="0"/>
            <w:r w:rsidRPr="00B10036">
              <w:t>Indicator</w:t>
            </w:r>
            <w:r>
              <w:t xml:space="preserve"> </w:t>
            </w:r>
            <w:r w:rsidR="00845D2F">
              <w:t>Description</w:t>
            </w:r>
          </w:p>
        </w:tc>
        <w:tc>
          <w:tcPr>
            <w:tcW w:w="1710" w:type="dxa"/>
            <w:shd w:val="clear" w:color="auto" w:fill="F2F2F2" w:themeFill="background1" w:themeFillShade="F2"/>
            <w:vAlign w:val="center"/>
          </w:tcPr>
          <w:p w:rsidR="00D443C8" w:rsidRPr="00F65BE4" w:rsidRDefault="00F65BE4" w:rsidP="00845D2F">
            <w:r>
              <w:t>Outcome</w:t>
            </w:r>
          </w:p>
        </w:tc>
        <w:tc>
          <w:tcPr>
            <w:tcW w:w="2070" w:type="dxa"/>
            <w:shd w:val="clear" w:color="auto" w:fill="F2F2F2" w:themeFill="background1" w:themeFillShade="F2"/>
            <w:vAlign w:val="center"/>
          </w:tcPr>
          <w:p w:rsidR="00D443C8" w:rsidRPr="00397F21" w:rsidRDefault="00A57CC4" w:rsidP="00CA2152">
            <w:pPr>
              <w:jc w:val="center"/>
            </w:pPr>
            <w:r>
              <w:t>201</w:t>
            </w:r>
            <w:r w:rsidR="00DF2F5C">
              <w:t>9</w:t>
            </w:r>
            <w:r>
              <w:t>-20</w:t>
            </w:r>
            <w:r w:rsidR="00DF2F5C">
              <w:t>20</w:t>
            </w:r>
          </w:p>
          <w:p w:rsidR="00D443C8" w:rsidRPr="00397F21" w:rsidRDefault="00E20AC2" w:rsidP="00CA2152">
            <w:pPr>
              <w:jc w:val="center"/>
            </w:pPr>
            <w:r>
              <w:t>State</w:t>
            </w:r>
            <w:r w:rsidR="00D443C8" w:rsidRPr="00397F21">
              <w:t xml:space="preserve"> Performance</w:t>
            </w:r>
          </w:p>
        </w:tc>
        <w:tc>
          <w:tcPr>
            <w:tcW w:w="1260" w:type="dxa"/>
            <w:shd w:val="clear" w:color="auto" w:fill="F2F2F2" w:themeFill="background1" w:themeFillShade="F2"/>
            <w:vAlign w:val="center"/>
          </w:tcPr>
          <w:p w:rsidR="00D443C8" w:rsidRPr="00397F21" w:rsidRDefault="00D443C8" w:rsidP="00CA2152">
            <w:pPr>
              <w:jc w:val="center"/>
            </w:pPr>
            <w:r w:rsidRPr="00397F21">
              <w:t>201</w:t>
            </w:r>
            <w:r w:rsidR="00DF2F5C">
              <w:t>9</w:t>
            </w:r>
            <w:r w:rsidRPr="00397F21">
              <w:t>-20</w:t>
            </w:r>
            <w:r w:rsidR="00DF2F5C">
              <w:t>20</w:t>
            </w:r>
          </w:p>
          <w:p w:rsidR="00D443C8" w:rsidRPr="00397F21" w:rsidRDefault="00D443C8" w:rsidP="00CA2152">
            <w:pPr>
              <w:jc w:val="center"/>
            </w:pPr>
            <w:r w:rsidRPr="00397F21">
              <w:t>State Target</w:t>
            </w:r>
          </w:p>
        </w:tc>
        <w:tc>
          <w:tcPr>
            <w:tcW w:w="1890" w:type="dxa"/>
            <w:shd w:val="clear" w:color="auto" w:fill="F2F2F2" w:themeFill="background1" w:themeFillShade="F2"/>
            <w:vAlign w:val="center"/>
          </w:tcPr>
          <w:p w:rsidR="00D443C8" w:rsidRPr="00397F21" w:rsidRDefault="00D443C8" w:rsidP="00CA2152">
            <w:pPr>
              <w:jc w:val="center"/>
            </w:pPr>
            <w:r w:rsidRPr="00397F21">
              <w:t>State Target</w:t>
            </w:r>
          </w:p>
          <w:p w:rsidR="00D443C8" w:rsidRPr="00397F21" w:rsidRDefault="00D443C8" w:rsidP="00CA2152">
            <w:pPr>
              <w:jc w:val="center"/>
            </w:pPr>
            <w:r w:rsidRPr="00397F21">
              <w:t>Met</w:t>
            </w:r>
          </w:p>
        </w:tc>
      </w:tr>
      <w:bookmarkEnd w:id="6"/>
      <w:tr w:rsidR="00087A94" w:rsidTr="00EB21C0">
        <w:tc>
          <w:tcPr>
            <w:tcW w:w="3078" w:type="dxa"/>
            <w:tcBorders>
              <w:top w:val="single" w:sz="4" w:space="0" w:color="auto"/>
              <w:left w:val="single" w:sz="4" w:space="0" w:color="auto"/>
              <w:bottom w:val="nil"/>
              <w:right w:val="single" w:sz="4" w:space="0" w:color="auto"/>
            </w:tcBorders>
          </w:tcPr>
          <w:p w:rsidR="00087A94" w:rsidRPr="003B6DF7" w:rsidRDefault="00087A94" w:rsidP="00CA2152">
            <w:r w:rsidRPr="003B6DF7">
              <w:rPr>
                <w:b/>
              </w:rPr>
              <w:t>7a.</w:t>
            </w:r>
            <w:r w:rsidRPr="003B6DF7">
              <w:t xml:space="preserve"> Positive social-emotional skills (including social relationships)</w:t>
            </w:r>
          </w:p>
        </w:tc>
        <w:tc>
          <w:tcPr>
            <w:tcW w:w="1710" w:type="dxa"/>
            <w:tcBorders>
              <w:left w:val="single" w:sz="4" w:space="0" w:color="auto"/>
            </w:tcBorders>
          </w:tcPr>
          <w:p w:rsidR="00087A94" w:rsidRPr="00397F21" w:rsidRDefault="00087A94" w:rsidP="00CA2152">
            <w:r w:rsidRPr="00397F21">
              <w:t>A</w:t>
            </w:r>
            <w:r w:rsidR="00E432A4">
              <w:t>1</w:t>
            </w:r>
            <w:r w:rsidRPr="00397F21">
              <w:t>.  % entered below age expectations</w:t>
            </w:r>
          </w:p>
        </w:tc>
        <w:tc>
          <w:tcPr>
            <w:tcW w:w="2070" w:type="dxa"/>
            <w:vAlign w:val="center"/>
          </w:tcPr>
          <w:p w:rsidR="00087A94" w:rsidRPr="00397F21" w:rsidRDefault="00DA389C" w:rsidP="00CA2152">
            <w:pPr>
              <w:jc w:val="center"/>
            </w:pPr>
            <w:r>
              <w:t>93.17</w:t>
            </w:r>
            <w:r w:rsidR="00087A94">
              <w:t>%</w:t>
            </w:r>
          </w:p>
        </w:tc>
        <w:tc>
          <w:tcPr>
            <w:tcW w:w="1260" w:type="dxa"/>
            <w:vAlign w:val="center"/>
          </w:tcPr>
          <w:p w:rsidR="00087A94" w:rsidRPr="00397F21" w:rsidRDefault="00087A94" w:rsidP="00CA2152">
            <w:pPr>
              <w:jc w:val="center"/>
            </w:pPr>
            <w:r w:rsidRPr="00B50CB1">
              <w:t>≥</w:t>
            </w:r>
            <w:r w:rsidR="00A02403">
              <w:t>90.1</w:t>
            </w:r>
            <w:r w:rsidRPr="00397F21">
              <w:t>%</w:t>
            </w:r>
          </w:p>
        </w:tc>
        <w:tc>
          <w:tcPr>
            <w:tcW w:w="1890" w:type="dxa"/>
            <w:vAlign w:val="center"/>
          </w:tcPr>
          <w:p w:rsidR="00087A94" w:rsidRPr="00397F21" w:rsidRDefault="00842297" w:rsidP="00CA2152">
            <w:pPr>
              <w:jc w:val="center"/>
            </w:pPr>
            <w:r>
              <w:rPr>
                <w:noProof/>
              </w:rPr>
              <w:t>Yes</w:t>
            </w:r>
          </w:p>
        </w:tc>
      </w:tr>
      <w:tr w:rsidR="00087A94" w:rsidTr="003B6DF7">
        <w:tc>
          <w:tcPr>
            <w:tcW w:w="3078" w:type="dxa"/>
            <w:tcBorders>
              <w:top w:val="nil"/>
              <w:left w:val="single" w:sz="4" w:space="0" w:color="auto"/>
              <w:bottom w:val="single" w:sz="4" w:space="0" w:color="auto"/>
              <w:right w:val="single" w:sz="4" w:space="0" w:color="auto"/>
            </w:tcBorders>
            <w:shd w:val="clear" w:color="auto" w:fill="auto"/>
          </w:tcPr>
          <w:p w:rsidR="00087A94" w:rsidRPr="003B6DF7" w:rsidRDefault="003B6DF7" w:rsidP="00CA2152">
            <w:r w:rsidRPr="003B6DF7">
              <w:rPr>
                <w:color w:val="FFFFFF" w:themeColor="background1"/>
              </w:rPr>
              <w:t>7a. Positive social-emotional skills (including social relationships)</w:t>
            </w:r>
          </w:p>
        </w:tc>
        <w:tc>
          <w:tcPr>
            <w:tcW w:w="1710" w:type="dxa"/>
            <w:tcBorders>
              <w:left w:val="single" w:sz="4" w:space="0" w:color="auto"/>
            </w:tcBorders>
          </w:tcPr>
          <w:p w:rsidR="00087A94" w:rsidRPr="00397F21" w:rsidRDefault="00E432A4" w:rsidP="00CA2152">
            <w:r>
              <w:t>A2</w:t>
            </w:r>
            <w:r w:rsidR="00087A94" w:rsidRPr="00397F21">
              <w:t xml:space="preserve">.  % functioning within age expectations </w:t>
            </w:r>
          </w:p>
        </w:tc>
        <w:tc>
          <w:tcPr>
            <w:tcW w:w="2070" w:type="dxa"/>
            <w:vAlign w:val="center"/>
          </w:tcPr>
          <w:p w:rsidR="00087A94" w:rsidRPr="00397F21" w:rsidRDefault="00DA389C" w:rsidP="00CA2152">
            <w:pPr>
              <w:jc w:val="center"/>
            </w:pPr>
            <w:r>
              <w:t>46.91</w:t>
            </w:r>
            <w:r w:rsidR="00842297">
              <w:t>%</w:t>
            </w:r>
          </w:p>
        </w:tc>
        <w:tc>
          <w:tcPr>
            <w:tcW w:w="1260" w:type="dxa"/>
            <w:vAlign w:val="center"/>
          </w:tcPr>
          <w:p w:rsidR="00087A94" w:rsidRPr="00397F21" w:rsidRDefault="00087A94" w:rsidP="00CA2152">
            <w:pPr>
              <w:jc w:val="center"/>
            </w:pPr>
            <w:r w:rsidRPr="00B50CB1">
              <w:t>≥</w:t>
            </w:r>
            <w:r w:rsidRPr="00397F21">
              <w:t>5</w:t>
            </w:r>
            <w:r w:rsidR="00DA389C">
              <w:t>6.0</w:t>
            </w:r>
            <w:r w:rsidRPr="00397F21">
              <w:t>%</w:t>
            </w:r>
          </w:p>
        </w:tc>
        <w:tc>
          <w:tcPr>
            <w:tcW w:w="1890" w:type="dxa"/>
            <w:vAlign w:val="center"/>
          </w:tcPr>
          <w:p w:rsidR="00087A94" w:rsidRPr="00397F21" w:rsidRDefault="00842297" w:rsidP="00CA2152">
            <w:pPr>
              <w:jc w:val="center"/>
            </w:pPr>
            <w:r>
              <w:rPr>
                <w:noProof/>
              </w:rPr>
              <w:t>No</w:t>
            </w:r>
          </w:p>
        </w:tc>
      </w:tr>
      <w:tr w:rsidR="00087A94" w:rsidTr="00B10036">
        <w:tc>
          <w:tcPr>
            <w:tcW w:w="3078" w:type="dxa"/>
            <w:tcBorders>
              <w:top w:val="single" w:sz="4" w:space="0" w:color="auto"/>
              <w:bottom w:val="nil"/>
            </w:tcBorders>
          </w:tcPr>
          <w:p w:rsidR="00087A94" w:rsidRPr="00397F21" w:rsidRDefault="00087A94" w:rsidP="00CA2152">
            <w:r w:rsidRPr="00397F21">
              <w:rPr>
                <w:b/>
              </w:rPr>
              <w:t>7b</w:t>
            </w:r>
            <w:r w:rsidRPr="00397F21">
              <w:t>. Acquisition and use of knowledge and skills (including early language/communication and early literacy)</w:t>
            </w:r>
          </w:p>
        </w:tc>
        <w:tc>
          <w:tcPr>
            <w:tcW w:w="1710" w:type="dxa"/>
          </w:tcPr>
          <w:p w:rsidR="00087A94" w:rsidRPr="00397F21" w:rsidRDefault="00E432A4" w:rsidP="00CA2152">
            <w:r>
              <w:t>B1</w:t>
            </w:r>
            <w:r w:rsidR="00087A94" w:rsidRPr="00397F21">
              <w:t xml:space="preserve">.  % entered below age expectations </w:t>
            </w:r>
          </w:p>
        </w:tc>
        <w:tc>
          <w:tcPr>
            <w:tcW w:w="2070" w:type="dxa"/>
            <w:vAlign w:val="center"/>
          </w:tcPr>
          <w:p w:rsidR="00087A94" w:rsidRPr="00397F21" w:rsidRDefault="00DA389C" w:rsidP="00CA2152">
            <w:pPr>
              <w:jc w:val="center"/>
            </w:pPr>
            <w:r>
              <w:t>94.87</w:t>
            </w:r>
            <w:r w:rsidR="00842297">
              <w:t>%</w:t>
            </w:r>
          </w:p>
        </w:tc>
        <w:tc>
          <w:tcPr>
            <w:tcW w:w="1260" w:type="dxa"/>
            <w:vAlign w:val="center"/>
          </w:tcPr>
          <w:p w:rsidR="00087A94" w:rsidRPr="00397F21" w:rsidRDefault="00087A94" w:rsidP="00CA2152">
            <w:pPr>
              <w:jc w:val="center"/>
            </w:pPr>
            <w:r w:rsidRPr="00B50CB1">
              <w:t>≥</w:t>
            </w:r>
            <w:r w:rsidRPr="00397F21">
              <w:t>9</w:t>
            </w:r>
            <w:r w:rsidR="00A02403">
              <w:t>4.0</w:t>
            </w:r>
            <w:r w:rsidRPr="00397F21">
              <w:t>%</w:t>
            </w:r>
          </w:p>
        </w:tc>
        <w:tc>
          <w:tcPr>
            <w:tcW w:w="1890" w:type="dxa"/>
            <w:vAlign w:val="center"/>
          </w:tcPr>
          <w:p w:rsidR="00087A94" w:rsidRPr="00397F21" w:rsidRDefault="00842297" w:rsidP="00CA2152">
            <w:pPr>
              <w:jc w:val="center"/>
            </w:pPr>
            <w:r>
              <w:rPr>
                <w:noProof/>
              </w:rPr>
              <w:t>Yes</w:t>
            </w:r>
          </w:p>
        </w:tc>
      </w:tr>
      <w:tr w:rsidR="00087A94" w:rsidTr="00B10036">
        <w:tc>
          <w:tcPr>
            <w:tcW w:w="3078" w:type="dxa"/>
            <w:tcBorders>
              <w:top w:val="nil"/>
              <w:bottom w:val="single" w:sz="4" w:space="0" w:color="auto"/>
            </w:tcBorders>
          </w:tcPr>
          <w:p w:rsidR="00087A94" w:rsidRPr="00397F21" w:rsidRDefault="003B6DF7" w:rsidP="00CA2152">
            <w:pPr>
              <w:rPr>
                <w:b/>
              </w:rPr>
            </w:pPr>
            <w:r w:rsidRPr="00325E87">
              <w:rPr>
                <w:b/>
                <w:color w:val="FFFFFF" w:themeColor="background1"/>
              </w:rPr>
              <w:t>7b</w:t>
            </w:r>
            <w:r w:rsidRPr="00325E87">
              <w:rPr>
                <w:color w:val="FFFFFF" w:themeColor="background1"/>
              </w:rPr>
              <w:t>. Acquisition and use of knowledge and skills (including early language/communication and early literacy)</w:t>
            </w:r>
          </w:p>
        </w:tc>
        <w:tc>
          <w:tcPr>
            <w:tcW w:w="1710" w:type="dxa"/>
          </w:tcPr>
          <w:p w:rsidR="00087A94" w:rsidRPr="00397F21" w:rsidRDefault="00087A94" w:rsidP="00CA2152">
            <w:r w:rsidRPr="00397F21">
              <w:t>B</w:t>
            </w:r>
            <w:r w:rsidR="00E432A4">
              <w:t>2</w:t>
            </w:r>
            <w:r w:rsidRPr="00397F21">
              <w:t>.  % functioning within age expectations</w:t>
            </w:r>
          </w:p>
        </w:tc>
        <w:tc>
          <w:tcPr>
            <w:tcW w:w="2070" w:type="dxa"/>
            <w:vAlign w:val="center"/>
          </w:tcPr>
          <w:p w:rsidR="00087A94" w:rsidRPr="00397F21" w:rsidRDefault="00DA389C" w:rsidP="00CA2152">
            <w:pPr>
              <w:jc w:val="center"/>
            </w:pPr>
            <w:r>
              <w:t>40.12</w:t>
            </w:r>
            <w:r w:rsidR="00842297">
              <w:t>%</w:t>
            </w:r>
          </w:p>
        </w:tc>
        <w:tc>
          <w:tcPr>
            <w:tcW w:w="1260" w:type="dxa"/>
            <w:vAlign w:val="center"/>
          </w:tcPr>
          <w:p w:rsidR="00087A94" w:rsidRPr="00397F21" w:rsidRDefault="00087A94" w:rsidP="00CA2152">
            <w:pPr>
              <w:jc w:val="center"/>
            </w:pPr>
            <w:r w:rsidRPr="00B50CB1">
              <w:t>≥</w:t>
            </w:r>
            <w:r w:rsidR="00DA389C">
              <w:t>43.06</w:t>
            </w:r>
            <w:r w:rsidRPr="00397F21">
              <w:t>%</w:t>
            </w:r>
          </w:p>
        </w:tc>
        <w:tc>
          <w:tcPr>
            <w:tcW w:w="1890" w:type="dxa"/>
            <w:vAlign w:val="center"/>
          </w:tcPr>
          <w:p w:rsidR="00087A94" w:rsidRPr="00397F21" w:rsidRDefault="00842297" w:rsidP="00CA2152">
            <w:pPr>
              <w:jc w:val="center"/>
            </w:pPr>
            <w:r>
              <w:rPr>
                <w:noProof/>
              </w:rPr>
              <w:t>No</w:t>
            </w:r>
          </w:p>
        </w:tc>
      </w:tr>
      <w:tr w:rsidR="00087A94" w:rsidTr="00B10036">
        <w:tc>
          <w:tcPr>
            <w:tcW w:w="3078" w:type="dxa"/>
            <w:tcBorders>
              <w:bottom w:val="nil"/>
            </w:tcBorders>
          </w:tcPr>
          <w:p w:rsidR="00087A94" w:rsidRPr="00397F21" w:rsidRDefault="00087A94" w:rsidP="00CA2152">
            <w:r w:rsidRPr="00397F21">
              <w:rPr>
                <w:b/>
              </w:rPr>
              <w:t>7c</w:t>
            </w:r>
            <w:r w:rsidRPr="00397F21">
              <w:t xml:space="preserve">. Use of appropriate behavior to meet their needs </w:t>
            </w:r>
          </w:p>
        </w:tc>
        <w:tc>
          <w:tcPr>
            <w:tcW w:w="1710" w:type="dxa"/>
          </w:tcPr>
          <w:p w:rsidR="00087A94" w:rsidRPr="00397F21" w:rsidRDefault="00E432A4" w:rsidP="00CA2152">
            <w:r>
              <w:t>C1</w:t>
            </w:r>
            <w:r w:rsidR="00087A94" w:rsidRPr="00397F21">
              <w:t>.  % entered below age expectations</w:t>
            </w:r>
          </w:p>
        </w:tc>
        <w:tc>
          <w:tcPr>
            <w:tcW w:w="2070" w:type="dxa"/>
            <w:vAlign w:val="center"/>
          </w:tcPr>
          <w:p w:rsidR="00087A94" w:rsidRPr="00397F21" w:rsidRDefault="00DA389C" w:rsidP="00CA2152">
            <w:pPr>
              <w:jc w:val="center"/>
            </w:pPr>
            <w:r>
              <w:t>92.97</w:t>
            </w:r>
            <w:r w:rsidR="00842297">
              <w:t>%</w:t>
            </w:r>
          </w:p>
        </w:tc>
        <w:tc>
          <w:tcPr>
            <w:tcW w:w="1260" w:type="dxa"/>
            <w:vAlign w:val="center"/>
          </w:tcPr>
          <w:p w:rsidR="00087A94" w:rsidRPr="00397F21" w:rsidRDefault="00087A94" w:rsidP="00CA2152">
            <w:pPr>
              <w:jc w:val="center"/>
            </w:pPr>
            <w:r w:rsidRPr="00B50CB1">
              <w:t>≥</w:t>
            </w:r>
            <w:r w:rsidR="00A02403">
              <w:t>91.0</w:t>
            </w:r>
            <w:r w:rsidRPr="00397F21">
              <w:t>%</w:t>
            </w:r>
          </w:p>
        </w:tc>
        <w:tc>
          <w:tcPr>
            <w:tcW w:w="1890" w:type="dxa"/>
            <w:vAlign w:val="center"/>
          </w:tcPr>
          <w:p w:rsidR="00087A94" w:rsidRPr="00397F21" w:rsidRDefault="00842297" w:rsidP="00CA2152">
            <w:pPr>
              <w:jc w:val="center"/>
            </w:pPr>
            <w:r>
              <w:rPr>
                <w:noProof/>
              </w:rPr>
              <w:t>Yes</w:t>
            </w:r>
          </w:p>
        </w:tc>
      </w:tr>
      <w:tr w:rsidR="00325E87" w:rsidTr="00B10036">
        <w:tc>
          <w:tcPr>
            <w:tcW w:w="3078" w:type="dxa"/>
            <w:tcBorders>
              <w:top w:val="nil"/>
            </w:tcBorders>
          </w:tcPr>
          <w:p w:rsidR="00325E87" w:rsidRPr="00397F21" w:rsidRDefault="00325E87" w:rsidP="009671B7">
            <w:r w:rsidRPr="00325E87">
              <w:rPr>
                <w:b/>
                <w:color w:val="FFFFFF" w:themeColor="background1"/>
              </w:rPr>
              <w:t>7c</w:t>
            </w:r>
            <w:r w:rsidRPr="00325E87">
              <w:rPr>
                <w:color w:val="FFFFFF" w:themeColor="background1"/>
              </w:rPr>
              <w:t xml:space="preserve">. Use of appropriate behavior to meet their needs </w:t>
            </w:r>
          </w:p>
        </w:tc>
        <w:tc>
          <w:tcPr>
            <w:tcW w:w="1710" w:type="dxa"/>
          </w:tcPr>
          <w:p w:rsidR="00325E87" w:rsidRPr="00397F21" w:rsidRDefault="00325E87" w:rsidP="00CA2152">
            <w:r>
              <w:t>C2</w:t>
            </w:r>
            <w:r w:rsidRPr="00397F21">
              <w:t>.   % functioning within age expectations</w:t>
            </w:r>
          </w:p>
        </w:tc>
        <w:tc>
          <w:tcPr>
            <w:tcW w:w="2070" w:type="dxa"/>
            <w:vAlign w:val="center"/>
          </w:tcPr>
          <w:p w:rsidR="00325E87" w:rsidRPr="00397F21" w:rsidRDefault="00DA389C" w:rsidP="00CA2152">
            <w:pPr>
              <w:jc w:val="center"/>
            </w:pPr>
            <w:r>
              <w:rPr>
                <w:noProof/>
              </w:rPr>
              <w:t>55.26</w:t>
            </w:r>
            <w:r w:rsidR="00842297">
              <w:rPr>
                <w:noProof/>
              </w:rPr>
              <w:t>%</w:t>
            </w:r>
          </w:p>
        </w:tc>
        <w:tc>
          <w:tcPr>
            <w:tcW w:w="1260" w:type="dxa"/>
            <w:vAlign w:val="center"/>
          </w:tcPr>
          <w:p w:rsidR="00325E87" w:rsidRPr="00397F21" w:rsidRDefault="00325E87" w:rsidP="00CA2152">
            <w:pPr>
              <w:jc w:val="center"/>
            </w:pPr>
            <w:r w:rsidRPr="00B50CB1">
              <w:t>≥</w:t>
            </w:r>
            <w:r w:rsidRPr="00397F21">
              <w:t>6</w:t>
            </w:r>
            <w:r w:rsidR="00DA389C">
              <w:t>2.0</w:t>
            </w:r>
            <w:r w:rsidRPr="00397F21">
              <w:t>%</w:t>
            </w:r>
          </w:p>
        </w:tc>
        <w:tc>
          <w:tcPr>
            <w:tcW w:w="1890" w:type="dxa"/>
            <w:vAlign w:val="center"/>
          </w:tcPr>
          <w:p w:rsidR="00325E87" w:rsidRPr="00397F21" w:rsidRDefault="00842297" w:rsidP="00CA2152">
            <w:pPr>
              <w:jc w:val="center"/>
            </w:pPr>
            <w:r>
              <w:rPr>
                <w:noProof/>
              </w:rPr>
              <w:t>No</w:t>
            </w:r>
          </w:p>
        </w:tc>
      </w:tr>
    </w:tbl>
    <w:p w:rsidR="00940461" w:rsidRDefault="00940461" w:rsidP="00CA2152"/>
    <w:p w:rsidR="007E5824" w:rsidRDefault="007E5824" w:rsidP="00CA2152"/>
    <w:p w:rsidR="007E5824" w:rsidRDefault="007E5824" w:rsidP="00CA2152"/>
    <w:p w:rsidR="007E5824" w:rsidRDefault="007E5824" w:rsidP="00CA2152"/>
    <w:p w:rsidR="00087A94" w:rsidRDefault="00087A94" w:rsidP="000702CB">
      <w:pPr>
        <w:pStyle w:val="Heading2"/>
      </w:pPr>
      <w:r>
        <w:lastRenderedPageBreak/>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087A94" w:rsidTr="000B5FF4">
        <w:trPr>
          <w:tblHeader/>
        </w:trPr>
        <w:tc>
          <w:tcPr>
            <w:tcW w:w="4428" w:type="dxa"/>
            <w:shd w:val="clear" w:color="auto" w:fill="F2F2F2" w:themeFill="background1" w:themeFillShade="F2"/>
            <w:vAlign w:val="center"/>
          </w:tcPr>
          <w:p w:rsidR="00087A94" w:rsidRDefault="007E6251" w:rsidP="000B5FF4">
            <w:bookmarkStart w:id="7" w:name="Title_11" w:colFirst="0" w:colLast="0"/>
            <w:r w:rsidRPr="00B10036">
              <w:t>Indicator</w:t>
            </w:r>
            <w:r>
              <w:t xml:space="preserve"> Description</w:t>
            </w:r>
          </w:p>
        </w:tc>
        <w:tc>
          <w:tcPr>
            <w:tcW w:w="2160" w:type="dxa"/>
            <w:shd w:val="clear" w:color="auto" w:fill="F2F2F2" w:themeFill="background1" w:themeFillShade="F2"/>
            <w:vAlign w:val="center"/>
          </w:tcPr>
          <w:p w:rsidR="00087A94" w:rsidRPr="009C4B7D" w:rsidRDefault="00A57CC4" w:rsidP="00EB21C0">
            <w:pPr>
              <w:jc w:val="center"/>
            </w:pPr>
            <w:r>
              <w:t>201</w:t>
            </w:r>
            <w:r w:rsidR="00DF2F5C">
              <w:t>9</w:t>
            </w:r>
            <w:r>
              <w:t>-20</w:t>
            </w:r>
            <w:r w:rsidR="00DF2F5C">
              <w:t>20</w:t>
            </w:r>
          </w:p>
          <w:p w:rsidR="00087A94" w:rsidRPr="009C4B7D" w:rsidRDefault="00E20AC2" w:rsidP="00EB21C0">
            <w:pPr>
              <w:jc w:val="center"/>
            </w:pPr>
            <w:r>
              <w:t>State</w:t>
            </w:r>
            <w:r w:rsidR="00087A94" w:rsidRPr="009C4B7D">
              <w:t xml:space="preserve"> Performance</w:t>
            </w:r>
          </w:p>
        </w:tc>
        <w:tc>
          <w:tcPr>
            <w:tcW w:w="1530" w:type="dxa"/>
            <w:shd w:val="clear" w:color="auto" w:fill="F2F2F2" w:themeFill="background1" w:themeFillShade="F2"/>
            <w:vAlign w:val="center"/>
          </w:tcPr>
          <w:p w:rsidR="00087A94" w:rsidRPr="009C4B7D" w:rsidRDefault="00A57CC4" w:rsidP="00EB21C0">
            <w:pPr>
              <w:jc w:val="center"/>
            </w:pPr>
            <w:r>
              <w:t>201</w:t>
            </w:r>
            <w:r w:rsidR="00DF2F5C">
              <w:t>9</w:t>
            </w:r>
            <w:r>
              <w:t>-20</w:t>
            </w:r>
            <w:r w:rsidR="00DF2F5C">
              <w:t>20</w:t>
            </w:r>
          </w:p>
          <w:p w:rsidR="00087A94" w:rsidRPr="009C4B7D" w:rsidRDefault="00087A94" w:rsidP="00EB21C0">
            <w:pPr>
              <w:jc w:val="center"/>
            </w:pPr>
            <w:r w:rsidRPr="009C4B7D">
              <w:t>State Target</w:t>
            </w:r>
          </w:p>
        </w:tc>
        <w:tc>
          <w:tcPr>
            <w:tcW w:w="1890" w:type="dxa"/>
            <w:shd w:val="clear" w:color="auto" w:fill="F2F2F2" w:themeFill="background1" w:themeFillShade="F2"/>
            <w:vAlign w:val="center"/>
          </w:tcPr>
          <w:p w:rsidR="00087A94" w:rsidRPr="009C4B7D" w:rsidRDefault="00087A94" w:rsidP="00EB21C0">
            <w:pPr>
              <w:jc w:val="center"/>
            </w:pPr>
            <w:r w:rsidRPr="009C4B7D">
              <w:t>State Target</w:t>
            </w:r>
          </w:p>
          <w:p w:rsidR="00087A94" w:rsidRPr="009C4B7D" w:rsidRDefault="00087A94" w:rsidP="00EB21C0">
            <w:pPr>
              <w:jc w:val="center"/>
            </w:pPr>
            <w:r w:rsidRPr="009C4B7D">
              <w:t>Met</w:t>
            </w:r>
          </w:p>
        </w:tc>
      </w:tr>
      <w:bookmarkEnd w:id="7"/>
      <w:tr w:rsidR="00087A94" w:rsidTr="007E6251">
        <w:tc>
          <w:tcPr>
            <w:tcW w:w="4428" w:type="dxa"/>
            <w:vAlign w:val="center"/>
          </w:tcPr>
          <w:p w:rsidR="00087A94" w:rsidRPr="009C4B7D" w:rsidRDefault="00964E04" w:rsidP="00EB21C0">
            <w:r>
              <w:t>Percentage of parents who reported their child’s school facilitated parent involvement as a means of improving services and results for children with disabilities</w:t>
            </w:r>
          </w:p>
        </w:tc>
        <w:tc>
          <w:tcPr>
            <w:tcW w:w="2160" w:type="dxa"/>
            <w:vAlign w:val="center"/>
          </w:tcPr>
          <w:p w:rsidR="00087A94" w:rsidRPr="009C4B7D" w:rsidRDefault="00842297" w:rsidP="00B65F39">
            <w:pPr>
              <w:jc w:val="center"/>
            </w:pPr>
            <w:r>
              <w:t>8</w:t>
            </w:r>
            <w:r w:rsidR="00DA389C">
              <w:t>6.6</w:t>
            </w:r>
            <w:r w:rsidR="00B65F39">
              <w:t>8</w:t>
            </w:r>
            <w:r w:rsidR="00087A94">
              <w:t>%</w:t>
            </w:r>
          </w:p>
        </w:tc>
        <w:tc>
          <w:tcPr>
            <w:tcW w:w="1530" w:type="dxa"/>
            <w:vAlign w:val="center"/>
          </w:tcPr>
          <w:p w:rsidR="00087A94" w:rsidRPr="009C4B7D" w:rsidRDefault="00087A94" w:rsidP="00B65F39">
            <w:pPr>
              <w:jc w:val="center"/>
            </w:pPr>
            <w:r w:rsidRPr="00B50CB1">
              <w:t>≥</w:t>
            </w:r>
            <w:r w:rsidR="00504AC6">
              <w:t>7</w:t>
            </w:r>
            <w:r w:rsidR="00DA389C">
              <w:t>8</w:t>
            </w:r>
            <w:r>
              <w:t>.0</w:t>
            </w:r>
            <w:r w:rsidRPr="009C4B7D">
              <w:t>%</w:t>
            </w:r>
          </w:p>
        </w:tc>
        <w:tc>
          <w:tcPr>
            <w:tcW w:w="1890" w:type="dxa"/>
            <w:vAlign w:val="center"/>
          </w:tcPr>
          <w:p w:rsidR="00087A94" w:rsidRPr="009C4B7D" w:rsidRDefault="00842297" w:rsidP="00EB21C0">
            <w:pPr>
              <w:jc w:val="center"/>
            </w:pPr>
            <w:r>
              <w:rPr>
                <w:noProof/>
              </w:rPr>
              <w:t>Yes</w:t>
            </w:r>
          </w:p>
        </w:tc>
      </w:tr>
    </w:tbl>
    <w:p w:rsidR="007E5824" w:rsidRPr="007E5824" w:rsidRDefault="007E5824" w:rsidP="007E5824"/>
    <w:p w:rsidR="007E5824" w:rsidRPr="007E5824" w:rsidRDefault="007E5824" w:rsidP="007E5824"/>
    <w:p w:rsidR="00C22B6B" w:rsidRDefault="00507A49" w:rsidP="000702CB">
      <w:pPr>
        <w:pStyle w:val="Heading2"/>
      </w:pPr>
      <w:r>
        <w:t xml:space="preserve">Indicator 9: </w:t>
      </w:r>
      <w:r w:rsidR="00964E04">
        <w:t>Divisions</w:t>
      </w:r>
      <w:r>
        <w:t xml:space="preserve"> with Disproportionate Representation in Spe</w:t>
      </w:r>
      <w:r w:rsidR="00813927">
        <w:t>cial Education and Related Services</w:t>
      </w:r>
    </w:p>
    <w:tbl>
      <w:tblPr>
        <w:tblStyle w:val="TableGrid2"/>
        <w:tblW w:w="10008" w:type="dxa"/>
        <w:tblLayout w:type="fixed"/>
        <w:tblLook w:val="04A0" w:firstRow="1" w:lastRow="0" w:firstColumn="1" w:lastColumn="0" w:noHBand="0" w:noVBand="1"/>
        <w:tblDescription w:val="Indicator 9: Districts with Disproportionate Representation in Special Education and Related Services"/>
      </w:tblPr>
      <w:tblGrid>
        <w:gridCol w:w="5399"/>
        <w:gridCol w:w="1909"/>
        <w:gridCol w:w="1440"/>
        <w:gridCol w:w="1260"/>
      </w:tblGrid>
      <w:tr w:rsidR="00E546E9" w:rsidRPr="00E546E9" w:rsidTr="00E86845">
        <w:trPr>
          <w:tblHeader/>
        </w:trPr>
        <w:tc>
          <w:tcPr>
            <w:tcW w:w="5399" w:type="dxa"/>
            <w:shd w:val="clear" w:color="auto" w:fill="F2F2F2" w:themeFill="background1" w:themeFillShade="F2"/>
            <w:vAlign w:val="center"/>
          </w:tcPr>
          <w:p w:rsidR="00E546E9" w:rsidRPr="00E546E9" w:rsidRDefault="00E546E9" w:rsidP="00E546E9">
            <w:r w:rsidRPr="00E546E9">
              <w:t>Indicator Description</w:t>
            </w:r>
          </w:p>
        </w:tc>
        <w:tc>
          <w:tcPr>
            <w:tcW w:w="1909" w:type="dxa"/>
            <w:shd w:val="clear" w:color="auto" w:fill="F2F2F2" w:themeFill="background1" w:themeFillShade="F2"/>
            <w:vAlign w:val="center"/>
          </w:tcPr>
          <w:p w:rsidR="00E546E9" w:rsidRPr="00E546E9" w:rsidRDefault="00E546E9" w:rsidP="00E546E9">
            <w:pPr>
              <w:jc w:val="center"/>
            </w:pPr>
            <w:r w:rsidRPr="00E546E9">
              <w:t>201</w:t>
            </w:r>
            <w:r w:rsidR="00DF2F5C">
              <w:t>9</w:t>
            </w:r>
            <w:r w:rsidRPr="00E546E9">
              <w:t>-20</w:t>
            </w:r>
            <w:r w:rsidR="00DF2F5C">
              <w:t>20</w:t>
            </w:r>
          </w:p>
          <w:p w:rsidR="00E546E9" w:rsidRPr="00E546E9" w:rsidRDefault="00E546E9" w:rsidP="00E546E9">
            <w:pPr>
              <w:jc w:val="center"/>
            </w:pPr>
            <w:r w:rsidRPr="00E546E9">
              <w:t xml:space="preserve">Disproportionate Representation </w:t>
            </w:r>
          </w:p>
        </w:tc>
        <w:tc>
          <w:tcPr>
            <w:tcW w:w="1440" w:type="dxa"/>
            <w:shd w:val="clear" w:color="auto" w:fill="F2F2F2" w:themeFill="background1" w:themeFillShade="F2"/>
            <w:vAlign w:val="center"/>
          </w:tcPr>
          <w:p w:rsidR="00E546E9" w:rsidRPr="00E546E9" w:rsidRDefault="00E546E9" w:rsidP="00E546E9">
            <w:pPr>
              <w:jc w:val="center"/>
            </w:pPr>
            <w:r w:rsidRPr="00E546E9">
              <w:t>201</w:t>
            </w:r>
            <w:r w:rsidR="00DF2F5C">
              <w:t>9</w:t>
            </w:r>
            <w:r w:rsidRPr="00E546E9">
              <w:t>-20</w:t>
            </w:r>
            <w:r w:rsidR="00DF2F5C">
              <w:t>20</w:t>
            </w:r>
            <w:r w:rsidRPr="00E546E9">
              <w:t xml:space="preserve"> State Target</w:t>
            </w:r>
          </w:p>
          <w:p w:rsidR="00E546E9" w:rsidRPr="00E546E9" w:rsidRDefault="00E546E9" w:rsidP="00E546E9">
            <w:pPr>
              <w:jc w:val="center"/>
            </w:pPr>
          </w:p>
        </w:tc>
        <w:tc>
          <w:tcPr>
            <w:tcW w:w="1260" w:type="dxa"/>
            <w:shd w:val="clear" w:color="auto" w:fill="F2F2F2" w:themeFill="background1" w:themeFillShade="F2"/>
            <w:vAlign w:val="center"/>
          </w:tcPr>
          <w:p w:rsidR="00E546E9" w:rsidRPr="00E546E9" w:rsidRDefault="00E546E9" w:rsidP="00E546E9">
            <w:pPr>
              <w:jc w:val="center"/>
            </w:pPr>
            <w:r w:rsidRPr="00E546E9">
              <w:t>State Target Met</w:t>
            </w:r>
          </w:p>
        </w:tc>
      </w:tr>
      <w:tr w:rsidR="00E546E9" w:rsidRPr="00E546E9" w:rsidTr="00E86845">
        <w:tc>
          <w:tcPr>
            <w:tcW w:w="5399" w:type="dxa"/>
            <w:vAlign w:val="center"/>
          </w:tcPr>
          <w:p w:rsidR="00E546E9" w:rsidRPr="00E546E9" w:rsidRDefault="00E546E9" w:rsidP="00E546E9">
            <w:r w:rsidRPr="00E546E9">
              <w:t xml:space="preserve">Percent of divisions identified with </w:t>
            </w:r>
            <w:r w:rsidRPr="00E546E9">
              <w:rPr>
                <w:bCs/>
                <w:color w:val="000000"/>
              </w:rPr>
              <w:t>disproportionate representation of racial and ethnic groups in special education and related services that is the result of inappropriate identification</w:t>
            </w:r>
          </w:p>
        </w:tc>
        <w:tc>
          <w:tcPr>
            <w:tcW w:w="1909" w:type="dxa"/>
            <w:vAlign w:val="center"/>
          </w:tcPr>
          <w:p w:rsidR="00E546E9" w:rsidRPr="00E546E9" w:rsidRDefault="00E546E9" w:rsidP="00E546E9">
            <w:pPr>
              <w:jc w:val="center"/>
            </w:pPr>
            <w:r w:rsidRPr="00E546E9">
              <w:t>0%</w:t>
            </w:r>
          </w:p>
        </w:tc>
        <w:tc>
          <w:tcPr>
            <w:tcW w:w="1440" w:type="dxa"/>
            <w:vAlign w:val="center"/>
          </w:tcPr>
          <w:p w:rsidR="00E546E9" w:rsidRPr="00E546E9" w:rsidRDefault="00E546E9" w:rsidP="00E546E9">
            <w:pPr>
              <w:jc w:val="center"/>
            </w:pPr>
            <w:r w:rsidRPr="00E546E9">
              <w:t>0%</w:t>
            </w:r>
          </w:p>
        </w:tc>
        <w:tc>
          <w:tcPr>
            <w:tcW w:w="1260" w:type="dxa"/>
            <w:vAlign w:val="center"/>
          </w:tcPr>
          <w:p w:rsidR="00E546E9" w:rsidRPr="00E546E9" w:rsidRDefault="00E546E9" w:rsidP="00E546E9">
            <w:pPr>
              <w:jc w:val="center"/>
            </w:pPr>
            <w:r w:rsidRPr="00E546E9">
              <w:t>Yes</w:t>
            </w:r>
          </w:p>
        </w:tc>
      </w:tr>
    </w:tbl>
    <w:p w:rsidR="00940461" w:rsidRDefault="00940461" w:rsidP="00C470DA">
      <w:pPr>
        <w:rPr>
          <w:rFonts w:cs="Times New Roman"/>
          <w:szCs w:val="24"/>
        </w:rPr>
      </w:pPr>
    </w:p>
    <w:p w:rsidR="007E5824" w:rsidRDefault="007E5824" w:rsidP="00C470DA">
      <w:pPr>
        <w:rPr>
          <w:rFonts w:cs="Times New Roman"/>
          <w:szCs w:val="24"/>
        </w:rPr>
      </w:pPr>
    </w:p>
    <w:p w:rsidR="00C470DA" w:rsidRDefault="00C470DA" w:rsidP="000702CB">
      <w:pPr>
        <w:pStyle w:val="Heading2"/>
      </w:pPr>
      <w:r>
        <w:t xml:space="preserve">Indicator 10: </w:t>
      </w:r>
      <w:r w:rsidR="00964E04">
        <w:t>Divisions</w:t>
      </w:r>
      <w:r>
        <w:t xml:space="preserve"> with Disproportionate Representation in Specific Disability Categories</w:t>
      </w:r>
    </w:p>
    <w:tbl>
      <w:tblPr>
        <w:tblStyle w:val="TableGrid3"/>
        <w:tblW w:w="10008" w:type="dxa"/>
        <w:tblLook w:val="04A0" w:firstRow="1" w:lastRow="0" w:firstColumn="1" w:lastColumn="0" w:noHBand="0" w:noVBand="1"/>
        <w:tblDescription w:val="Indicator 10: Districts with Disproportionate Representation in Specific Disability Categories"/>
      </w:tblPr>
      <w:tblGrid>
        <w:gridCol w:w="5418"/>
        <w:gridCol w:w="1890"/>
        <w:gridCol w:w="1440"/>
        <w:gridCol w:w="1260"/>
      </w:tblGrid>
      <w:tr w:rsidR="00E546E9" w:rsidRPr="00E546E9" w:rsidTr="00E86845">
        <w:trPr>
          <w:tblHeader/>
        </w:trPr>
        <w:tc>
          <w:tcPr>
            <w:tcW w:w="5418" w:type="dxa"/>
            <w:shd w:val="clear" w:color="auto" w:fill="F2F2F2" w:themeFill="background1" w:themeFillShade="F2"/>
            <w:vAlign w:val="center"/>
          </w:tcPr>
          <w:p w:rsidR="00E546E9" w:rsidRPr="00E546E9" w:rsidRDefault="00E546E9" w:rsidP="00E546E9">
            <w:r w:rsidRPr="00E546E9">
              <w:t>Indicator Description</w:t>
            </w:r>
          </w:p>
        </w:tc>
        <w:tc>
          <w:tcPr>
            <w:tcW w:w="1890" w:type="dxa"/>
            <w:shd w:val="clear" w:color="auto" w:fill="F2F2F2" w:themeFill="background1" w:themeFillShade="F2"/>
            <w:vAlign w:val="center"/>
          </w:tcPr>
          <w:p w:rsidR="00E546E9" w:rsidRPr="00E546E9" w:rsidRDefault="00E546E9" w:rsidP="00E546E9">
            <w:pPr>
              <w:jc w:val="center"/>
            </w:pPr>
            <w:r w:rsidRPr="00E546E9">
              <w:t>201</w:t>
            </w:r>
            <w:r w:rsidR="00DF2F5C">
              <w:t>9</w:t>
            </w:r>
            <w:r w:rsidRPr="00E546E9">
              <w:t>-20</w:t>
            </w:r>
            <w:r w:rsidR="00DF2F5C">
              <w:t>20</w:t>
            </w:r>
          </w:p>
          <w:p w:rsidR="00E546E9" w:rsidRPr="00E546E9" w:rsidRDefault="00E546E9" w:rsidP="00E546E9">
            <w:pPr>
              <w:jc w:val="center"/>
            </w:pPr>
            <w:r w:rsidRPr="00E546E9">
              <w:t xml:space="preserve">Disproportionate Representation </w:t>
            </w:r>
          </w:p>
        </w:tc>
        <w:tc>
          <w:tcPr>
            <w:tcW w:w="1440" w:type="dxa"/>
            <w:shd w:val="clear" w:color="auto" w:fill="F2F2F2" w:themeFill="background1" w:themeFillShade="F2"/>
            <w:vAlign w:val="center"/>
          </w:tcPr>
          <w:p w:rsidR="00E546E9" w:rsidRPr="00E546E9" w:rsidRDefault="00E546E9" w:rsidP="00E546E9">
            <w:pPr>
              <w:jc w:val="center"/>
            </w:pPr>
            <w:r w:rsidRPr="00E546E9">
              <w:t>201</w:t>
            </w:r>
            <w:r w:rsidR="00DF2F5C">
              <w:t>9</w:t>
            </w:r>
            <w:r w:rsidRPr="00E546E9">
              <w:t>-20</w:t>
            </w:r>
            <w:r w:rsidR="00DF2F5C">
              <w:t>20</w:t>
            </w:r>
          </w:p>
          <w:p w:rsidR="00E546E9" w:rsidRPr="00E546E9" w:rsidRDefault="00E546E9" w:rsidP="00E546E9">
            <w:pPr>
              <w:jc w:val="center"/>
            </w:pPr>
            <w:r w:rsidRPr="00E546E9">
              <w:t>State Target</w:t>
            </w:r>
          </w:p>
          <w:p w:rsidR="00E546E9" w:rsidRPr="00E546E9" w:rsidRDefault="00E546E9" w:rsidP="00E546E9">
            <w:pPr>
              <w:jc w:val="center"/>
            </w:pPr>
          </w:p>
        </w:tc>
        <w:tc>
          <w:tcPr>
            <w:tcW w:w="1260" w:type="dxa"/>
            <w:shd w:val="clear" w:color="auto" w:fill="F2F2F2" w:themeFill="background1" w:themeFillShade="F2"/>
            <w:vAlign w:val="center"/>
          </w:tcPr>
          <w:p w:rsidR="00E546E9" w:rsidRPr="00E546E9" w:rsidRDefault="00E546E9" w:rsidP="00E546E9">
            <w:pPr>
              <w:jc w:val="center"/>
            </w:pPr>
            <w:r w:rsidRPr="00E546E9">
              <w:t>State Target Met</w:t>
            </w:r>
          </w:p>
        </w:tc>
      </w:tr>
      <w:tr w:rsidR="00E546E9" w:rsidRPr="00E546E9" w:rsidTr="00E86845">
        <w:tc>
          <w:tcPr>
            <w:tcW w:w="5418" w:type="dxa"/>
            <w:vAlign w:val="center"/>
          </w:tcPr>
          <w:p w:rsidR="00E546E9" w:rsidRPr="00E546E9" w:rsidRDefault="00E546E9" w:rsidP="00E546E9">
            <w:r w:rsidRPr="00E546E9">
              <w:t xml:space="preserve">Percent of divisions identified with </w:t>
            </w:r>
            <w:r w:rsidRPr="00E546E9">
              <w:rPr>
                <w:bCs/>
                <w:color w:val="000000"/>
              </w:rPr>
              <w:t>disproportionate representation of racial and ethnic groups in specific disability categories that is the result of inappropriate identification</w:t>
            </w:r>
          </w:p>
        </w:tc>
        <w:tc>
          <w:tcPr>
            <w:tcW w:w="1890" w:type="dxa"/>
            <w:vAlign w:val="center"/>
          </w:tcPr>
          <w:p w:rsidR="00E546E9" w:rsidRPr="00E546E9" w:rsidRDefault="00DA389C" w:rsidP="00E546E9">
            <w:pPr>
              <w:jc w:val="center"/>
            </w:pPr>
            <w:r>
              <w:t>1.71</w:t>
            </w:r>
            <w:r w:rsidR="00E546E9" w:rsidRPr="00E546E9">
              <w:t>%</w:t>
            </w:r>
          </w:p>
        </w:tc>
        <w:tc>
          <w:tcPr>
            <w:tcW w:w="1440" w:type="dxa"/>
            <w:vAlign w:val="center"/>
          </w:tcPr>
          <w:p w:rsidR="00E546E9" w:rsidRPr="00E546E9" w:rsidRDefault="00E546E9" w:rsidP="00E546E9">
            <w:pPr>
              <w:jc w:val="center"/>
            </w:pPr>
            <w:r w:rsidRPr="00E546E9">
              <w:t>0%</w:t>
            </w:r>
          </w:p>
        </w:tc>
        <w:tc>
          <w:tcPr>
            <w:tcW w:w="1260" w:type="dxa"/>
            <w:vAlign w:val="center"/>
          </w:tcPr>
          <w:p w:rsidR="00E546E9" w:rsidRPr="00E546E9" w:rsidRDefault="00E546E9" w:rsidP="00E546E9">
            <w:pPr>
              <w:jc w:val="center"/>
            </w:pPr>
            <w:r w:rsidRPr="00E546E9">
              <w:t>No</w:t>
            </w:r>
          </w:p>
        </w:tc>
      </w:tr>
    </w:tbl>
    <w:p w:rsidR="00940461" w:rsidRDefault="00940461" w:rsidP="00C470DA">
      <w:pPr>
        <w:rPr>
          <w:rFonts w:cs="Times New Roman"/>
          <w:szCs w:val="24"/>
        </w:rPr>
      </w:pPr>
    </w:p>
    <w:p w:rsidR="007E5824" w:rsidRDefault="007E5824" w:rsidP="00C470DA">
      <w:pPr>
        <w:rPr>
          <w:rFonts w:cs="Times New Roman"/>
          <w:szCs w:val="24"/>
        </w:rPr>
      </w:pPr>
    </w:p>
    <w:p w:rsidR="00EE2634" w:rsidRPr="00422D0A" w:rsidRDefault="00EE2634"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422D0A" w:rsidTr="000B5FF4">
        <w:trPr>
          <w:tblHeader/>
        </w:trPr>
        <w:tc>
          <w:tcPr>
            <w:tcW w:w="4788" w:type="dxa"/>
            <w:shd w:val="clear" w:color="auto" w:fill="F2F2F2" w:themeFill="background1" w:themeFillShade="F2"/>
            <w:vAlign w:val="center"/>
          </w:tcPr>
          <w:p w:rsidR="00422D0A" w:rsidRDefault="007E6251" w:rsidP="000B5FF4">
            <w:bookmarkStart w:id="8" w:name="Title_14" w:colFirst="0" w:colLast="0"/>
            <w:r w:rsidRPr="00B10036">
              <w:t>Indicator</w:t>
            </w:r>
            <w:r>
              <w:t xml:space="preserve"> Description</w:t>
            </w:r>
          </w:p>
        </w:tc>
        <w:tc>
          <w:tcPr>
            <w:tcW w:w="1800" w:type="dxa"/>
            <w:shd w:val="clear" w:color="auto" w:fill="F2F2F2" w:themeFill="background1" w:themeFillShade="F2"/>
            <w:vAlign w:val="center"/>
          </w:tcPr>
          <w:p w:rsidR="00422D0A" w:rsidRPr="009C4B7D" w:rsidRDefault="00A57CC4" w:rsidP="00EB21C0">
            <w:pPr>
              <w:jc w:val="center"/>
            </w:pPr>
            <w:r>
              <w:t>201</w:t>
            </w:r>
            <w:r w:rsidR="00DF2F5C">
              <w:t>9</w:t>
            </w:r>
            <w:r>
              <w:t>-20</w:t>
            </w:r>
            <w:r w:rsidR="00DF2F5C">
              <w:t>20</w:t>
            </w:r>
          </w:p>
          <w:p w:rsidR="00422D0A" w:rsidRPr="009C4B7D" w:rsidRDefault="00E20AC2" w:rsidP="00EB21C0">
            <w:pPr>
              <w:jc w:val="center"/>
            </w:pPr>
            <w:r>
              <w:t>State</w:t>
            </w:r>
            <w:r w:rsidR="00422D0A" w:rsidRPr="009C4B7D">
              <w:t xml:space="preserve"> Performance</w:t>
            </w:r>
          </w:p>
        </w:tc>
        <w:tc>
          <w:tcPr>
            <w:tcW w:w="1800" w:type="dxa"/>
            <w:shd w:val="clear" w:color="auto" w:fill="F2F2F2" w:themeFill="background1" w:themeFillShade="F2"/>
            <w:vAlign w:val="center"/>
          </w:tcPr>
          <w:p w:rsidR="00422D0A" w:rsidRPr="009C4B7D" w:rsidRDefault="00A57CC4" w:rsidP="00EB21C0">
            <w:pPr>
              <w:jc w:val="center"/>
            </w:pPr>
            <w:r>
              <w:t>201</w:t>
            </w:r>
            <w:r w:rsidR="00DF2F5C">
              <w:t>9</w:t>
            </w:r>
            <w:r>
              <w:t>-20</w:t>
            </w:r>
            <w:r w:rsidR="00DF2F5C">
              <w:t>20</w:t>
            </w:r>
          </w:p>
          <w:p w:rsidR="00422D0A" w:rsidRPr="009C4B7D" w:rsidRDefault="00422D0A" w:rsidP="00EB21C0">
            <w:pPr>
              <w:jc w:val="center"/>
            </w:pPr>
            <w:r w:rsidRPr="009C4B7D">
              <w:t>State Target</w:t>
            </w:r>
          </w:p>
        </w:tc>
        <w:tc>
          <w:tcPr>
            <w:tcW w:w="1620" w:type="dxa"/>
            <w:shd w:val="clear" w:color="auto" w:fill="F2F2F2" w:themeFill="background1" w:themeFillShade="F2"/>
            <w:vAlign w:val="center"/>
          </w:tcPr>
          <w:p w:rsidR="00422D0A" w:rsidRPr="009C4B7D" w:rsidRDefault="00422D0A" w:rsidP="00EB21C0">
            <w:pPr>
              <w:jc w:val="center"/>
            </w:pPr>
            <w:r w:rsidRPr="009C4B7D">
              <w:t>State Target</w:t>
            </w:r>
          </w:p>
          <w:p w:rsidR="00422D0A" w:rsidRPr="009C4B7D" w:rsidRDefault="00422D0A" w:rsidP="00EB21C0">
            <w:pPr>
              <w:jc w:val="center"/>
            </w:pPr>
            <w:r w:rsidRPr="009C4B7D">
              <w:t>Met</w:t>
            </w:r>
          </w:p>
        </w:tc>
      </w:tr>
      <w:bookmarkEnd w:id="8"/>
      <w:tr w:rsidR="00422D0A" w:rsidTr="007E6251">
        <w:tc>
          <w:tcPr>
            <w:tcW w:w="4788" w:type="dxa"/>
            <w:vAlign w:val="center"/>
          </w:tcPr>
          <w:p w:rsidR="00422D0A" w:rsidRPr="00236576" w:rsidRDefault="00422D0A" w:rsidP="00EB21C0">
            <w:pPr>
              <w:rPr>
                <w:color w:val="000000"/>
              </w:rPr>
            </w:pPr>
            <w:r w:rsidRPr="00236576">
              <w:rPr>
                <w:bCs/>
                <w:color w:val="000000"/>
              </w:rPr>
              <w:t>Children with parental consent for initial evaluation, who were evaluated and eligibility det</w:t>
            </w:r>
            <w:r w:rsidR="00834315">
              <w:rPr>
                <w:bCs/>
                <w:color w:val="000000"/>
              </w:rPr>
              <w:t>ermined within 65 business days</w:t>
            </w:r>
            <w:r w:rsidRPr="00236576">
              <w:rPr>
                <w:color w:val="000000"/>
              </w:rPr>
              <w:t xml:space="preserve"> </w:t>
            </w:r>
          </w:p>
        </w:tc>
        <w:tc>
          <w:tcPr>
            <w:tcW w:w="1800" w:type="dxa"/>
            <w:vAlign w:val="center"/>
          </w:tcPr>
          <w:p w:rsidR="00422D0A" w:rsidRPr="009C4B7D" w:rsidRDefault="00B65F39" w:rsidP="00B65F39">
            <w:pPr>
              <w:jc w:val="center"/>
            </w:pPr>
            <w:r>
              <w:t>9</w:t>
            </w:r>
            <w:r w:rsidR="00DA389C">
              <w:t>7.45</w:t>
            </w:r>
            <w:r w:rsidR="00422D0A">
              <w:t>%</w:t>
            </w:r>
          </w:p>
        </w:tc>
        <w:tc>
          <w:tcPr>
            <w:tcW w:w="1800" w:type="dxa"/>
            <w:vAlign w:val="center"/>
          </w:tcPr>
          <w:p w:rsidR="00422D0A" w:rsidRPr="009C4B7D" w:rsidRDefault="00422D0A" w:rsidP="00EB21C0">
            <w:pPr>
              <w:jc w:val="center"/>
            </w:pPr>
            <w:r w:rsidRPr="009C4B7D">
              <w:t>100%</w:t>
            </w:r>
          </w:p>
        </w:tc>
        <w:tc>
          <w:tcPr>
            <w:tcW w:w="1620" w:type="dxa"/>
            <w:vAlign w:val="center"/>
          </w:tcPr>
          <w:p w:rsidR="00422D0A" w:rsidRPr="009C4B7D" w:rsidRDefault="00842297" w:rsidP="00EB21C0">
            <w:pPr>
              <w:jc w:val="center"/>
            </w:pPr>
            <w:r>
              <w:rPr>
                <w:noProof/>
              </w:rPr>
              <w:t>No</w:t>
            </w:r>
          </w:p>
        </w:tc>
      </w:tr>
    </w:tbl>
    <w:p w:rsidR="00940461" w:rsidRDefault="00940461" w:rsidP="00422D0A"/>
    <w:p w:rsidR="007E5824" w:rsidRDefault="007E5824" w:rsidP="00422D0A"/>
    <w:p w:rsidR="007E5824" w:rsidRDefault="007E5824" w:rsidP="00422D0A"/>
    <w:p w:rsidR="00422D0A" w:rsidRDefault="00422D0A" w:rsidP="000702CB">
      <w:pPr>
        <w:pStyle w:val="Heading2"/>
      </w:pPr>
      <w:r w:rsidRPr="00422D0A">
        <w:lastRenderedPageBreak/>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34315" w:rsidTr="000B5FF4">
        <w:trPr>
          <w:tblHeader/>
        </w:trPr>
        <w:tc>
          <w:tcPr>
            <w:tcW w:w="4788" w:type="dxa"/>
            <w:shd w:val="clear" w:color="auto" w:fill="F2F2F2" w:themeFill="background1" w:themeFillShade="F2"/>
            <w:vAlign w:val="center"/>
          </w:tcPr>
          <w:p w:rsidR="00834315" w:rsidRPr="009C4B7D" w:rsidRDefault="007E6251" w:rsidP="000B5FF4">
            <w:bookmarkStart w:id="9" w:name="Title_15" w:colFirst="0" w:colLast="0"/>
            <w:r w:rsidRPr="00B10036">
              <w:t>Indicator</w:t>
            </w:r>
            <w:r>
              <w:t xml:space="preserve"> Description</w:t>
            </w:r>
          </w:p>
        </w:tc>
        <w:tc>
          <w:tcPr>
            <w:tcW w:w="1800" w:type="dxa"/>
            <w:shd w:val="clear" w:color="auto" w:fill="F2F2F2" w:themeFill="background1" w:themeFillShade="F2"/>
            <w:vAlign w:val="center"/>
          </w:tcPr>
          <w:p w:rsidR="00834315" w:rsidRPr="009C4B7D" w:rsidRDefault="00A57CC4" w:rsidP="00EB21C0">
            <w:pPr>
              <w:jc w:val="center"/>
            </w:pPr>
            <w:r>
              <w:t>201</w:t>
            </w:r>
            <w:r w:rsidR="00DF2F5C">
              <w:t>9</w:t>
            </w:r>
            <w:r>
              <w:t>-20</w:t>
            </w:r>
            <w:r w:rsidR="00DF2F5C">
              <w:t>20</w:t>
            </w:r>
          </w:p>
          <w:p w:rsidR="00834315" w:rsidRPr="009C4B7D" w:rsidRDefault="00E20AC2" w:rsidP="00EB21C0">
            <w:pPr>
              <w:jc w:val="center"/>
            </w:pPr>
            <w:r>
              <w:t>State</w:t>
            </w:r>
            <w:r w:rsidR="00834315" w:rsidRPr="009C4B7D">
              <w:t xml:space="preserve"> Performance</w:t>
            </w:r>
          </w:p>
        </w:tc>
        <w:tc>
          <w:tcPr>
            <w:tcW w:w="1800" w:type="dxa"/>
            <w:shd w:val="clear" w:color="auto" w:fill="F2F2F2" w:themeFill="background1" w:themeFillShade="F2"/>
            <w:vAlign w:val="center"/>
          </w:tcPr>
          <w:p w:rsidR="00834315" w:rsidRPr="009C4B7D" w:rsidRDefault="00A57CC4" w:rsidP="00EB21C0">
            <w:pPr>
              <w:jc w:val="center"/>
            </w:pPr>
            <w:r>
              <w:t>201</w:t>
            </w:r>
            <w:r w:rsidR="00DF2F5C">
              <w:t>9</w:t>
            </w:r>
            <w:r>
              <w:t>-20</w:t>
            </w:r>
            <w:r w:rsidR="00DF2F5C">
              <w:t>20</w:t>
            </w:r>
          </w:p>
          <w:p w:rsidR="00834315" w:rsidRPr="009C4B7D" w:rsidRDefault="00834315" w:rsidP="00EB21C0">
            <w:pPr>
              <w:jc w:val="center"/>
            </w:pPr>
            <w:r w:rsidRPr="009C4B7D">
              <w:t>State Target</w:t>
            </w:r>
          </w:p>
        </w:tc>
        <w:tc>
          <w:tcPr>
            <w:tcW w:w="1620" w:type="dxa"/>
            <w:shd w:val="clear" w:color="auto" w:fill="F2F2F2" w:themeFill="background1" w:themeFillShade="F2"/>
            <w:vAlign w:val="center"/>
          </w:tcPr>
          <w:p w:rsidR="00834315" w:rsidRPr="009C4B7D" w:rsidRDefault="00834315" w:rsidP="00EB21C0">
            <w:pPr>
              <w:jc w:val="center"/>
            </w:pPr>
            <w:r w:rsidRPr="009C4B7D">
              <w:t>State Target</w:t>
            </w:r>
          </w:p>
          <w:p w:rsidR="00834315" w:rsidRPr="009C4B7D" w:rsidRDefault="00834315" w:rsidP="00EB21C0">
            <w:pPr>
              <w:jc w:val="center"/>
            </w:pPr>
            <w:r w:rsidRPr="009C4B7D">
              <w:t>Met</w:t>
            </w:r>
          </w:p>
        </w:tc>
      </w:tr>
      <w:bookmarkEnd w:id="9"/>
      <w:tr w:rsidR="00834315" w:rsidTr="007E6251">
        <w:tc>
          <w:tcPr>
            <w:tcW w:w="4788" w:type="dxa"/>
            <w:vAlign w:val="center"/>
          </w:tcPr>
          <w:p w:rsidR="00834315" w:rsidRPr="009C4B7D" w:rsidRDefault="00834315" w:rsidP="00EB21C0">
            <w:r w:rsidRPr="009C4B7D">
              <w:t>Children determined eligible and IEPs developed and implemented by their third birthdays</w:t>
            </w:r>
          </w:p>
        </w:tc>
        <w:tc>
          <w:tcPr>
            <w:tcW w:w="1800" w:type="dxa"/>
            <w:vAlign w:val="center"/>
          </w:tcPr>
          <w:p w:rsidR="00834315" w:rsidRPr="009C4B7D" w:rsidRDefault="00DA389C" w:rsidP="00EB21C0">
            <w:pPr>
              <w:jc w:val="center"/>
            </w:pPr>
            <w:r>
              <w:t>99.47</w:t>
            </w:r>
            <w:r w:rsidR="00834315">
              <w:t>%</w:t>
            </w:r>
          </w:p>
        </w:tc>
        <w:tc>
          <w:tcPr>
            <w:tcW w:w="1800" w:type="dxa"/>
            <w:vAlign w:val="center"/>
          </w:tcPr>
          <w:p w:rsidR="00834315" w:rsidRPr="009C4B7D" w:rsidRDefault="00834315" w:rsidP="00EB21C0">
            <w:pPr>
              <w:jc w:val="center"/>
            </w:pPr>
            <w:r w:rsidRPr="009C4B7D">
              <w:t>100%</w:t>
            </w:r>
          </w:p>
        </w:tc>
        <w:tc>
          <w:tcPr>
            <w:tcW w:w="1620" w:type="dxa"/>
            <w:vAlign w:val="center"/>
          </w:tcPr>
          <w:p w:rsidR="00834315" w:rsidRPr="009C4B7D" w:rsidRDefault="00842297" w:rsidP="00EB21C0">
            <w:pPr>
              <w:jc w:val="center"/>
            </w:pPr>
            <w:r>
              <w:rPr>
                <w:noProof/>
              </w:rPr>
              <w:t>No</w:t>
            </w:r>
          </w:p>
        </w:tc>
      </w:tr>
    </w:tbl>
    <w:p w:rsidR="00940461" w:rsidRDefault="00940461" w:rsidP="00422D0A"/>
    <w:p w:rsidR="007E5824" w:rsidRDefault="007E5824" w:rsidP="00422D0A"/>
    <w:p w:rsidR="00834315" w:rsidRPr="00834315" w:rsidRDefault="00834315"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6C219E" w:rsidTr="000B5FF4">
        <w:trPr>
          <w:tblHeader/>
        </w:trPr>
        <w:tc>
          <w:tcPr>
            <w:tcW w:w="4601" w:type="dxa"/>
            <w:shd w:val="clear" w:color="auto" w:fill="F2F2F2" w:themeFill="background1" w:themeFillShade="F2"/>
            <w:vAlign w:val="center"/>
          </w:tcPr>
          <w:p w:rsidR="006C219E" w:rsidRPr="009C4B7D" w:rsidRDefault="007E6251" w:rsidP="000B5FF4">
            <w:bookmarkStart w:id="10" w:name="Title_16" w:colFirst="0" w:colLast="0"/>
            <w:r w:rsidRPr="00B10036">
              <w:t>Indicator</w:t>
            </w:r>
            <w:r>
              <w:t xml:space="preserve"> Description</w:t>
            </w:r>
          </w:p>
        </w:tc>
        <w:tc>
          <w:tcPr>
            <w:tcW w:w="1780" w:type="dxa"/>
            <w:shd w:val="clear" w:color="auto" w:fill="F2F2F2" w:themeFill="background1" w:themeFillShade="F2"/>
            <w:vAlign w:val="center"/>
          </w:tcPr>
          <w:p w:rsidR="006C219E" w:rsidRPr="009C4B7D" w:rsidRDefault="00A57CC4" w:rsidP="00EB21C0">
            <w:pPr>
              <w:jc w:val="center"/>
            </w:pPr>
            <w:r>
              <w:t>201</w:t>
            </w:r>
            <w:r w:rsidR="00DF2F5C">
              <w:t>9</w:t>
            </w:r>
            <w:r>
              <w:t>-20</w:t>
            </w:r>
            <w:r w:rsidR="00DF2F5C">
              <w:t>20</w:t>
            </w:r>
          </w:p>
          <w:p w:rsidR="006C219E" w:rsidRPr="009C4B7D" w:rsidRDefault="00E20AC2" w:rsidP="00EB21C0">
            <w:pPr>
              <w:jc w:val="center"/>
            </w:pPr>
            <w:r>
              <w:t>State</w:t>
            </w:r>
            <w:r w:rsidR="006C219E" w:rsidRPr="009C4B7D">
              <w:t xml:space="preserve"> Performance</w:t>
            </w:r>
          </w:p>
        </w:tc>
        <w:tc>
          <w:tcPr>
            <w:tcW w:w="1744" w:type="dxa"/>
            <w:shd w:val="clear" w:color="auto" w:fill="F2F2F2" w:themeFill="background1" w:themeFillShade="F2"/>
            <w:vAlign w:val="center"/>
          </w:tcPr>
          <w:p w:rsidR="006C219E" w:rsidRPr="009C4B7D" w:rsidRDefault="00A57CC4" w:rsidP="00EB21C0">
            <w:pPr>
              <w:jc w:val="center"/>
            </w:pPr>
            <w:r>
              <w:t>201</w:t>
            </w:r>
            <w:r w:rsidR="00DF2F5C">
              <w:t>9</w:t>
            </w:r>
            <w:r>
              <w:t>-20</w:t>
            </w:r>
            <w:r w:rsidR="00DF2F5C">
              <w:t>20</w:t>
            </w:r>
          </w:p>
          <w:p w:rsidR="006C219E" w:rsidRPr="009C4B7D" w:rsidRDefault="006C219E" w:rsidP="00EB21C0">
            <w:pPr>
              <w:jc w:val="center"/>
            </w:pPr>
            <w:r w:rsidRPr="009C4B7D">
              <w:t>State Target</w:t>
            </w:r>
          </w:p>
        </w:tc>
        <w:tc>
          <w:tcPr>
            <w:tcW w:w="1883" w:type="dxa"/>
            <w:shd w:val="clear" w:color="auto" w:fill="F2F2F2" w:themeFill="background1" w:themeFillShade="F2"/>
            <w:vAlign w:val="center"/>
          </w:tcPr>
          <w:p w:rsidR="006C219E" w:rsidRPr="009C4B7D" w:rsidRDefault="006C219E" w:rsidP="00EB21C0">
            <w:pPr>
              <w:jc w:val="center"/>
            </w:pPr>
            <w:r w:rsidRPr="009C4B7D">
              <w:t>State Target</w:t>
            </w:r>
          </w:p>
          <w:p w:rsidR="006C219E" w:rsidRPr="009C4B7D" w:rsidRDefault="006C219E" w:rsidP="00EB21C0">
            <w:pPr>
              <w:jc w:val="center"/>
            </w:pPr>
            <w:r w:rsidRPr="009C4B7D">
              <w:t>Met</w:t>
            </w:r>
          </w:p>
        </w:tc>
      </w:tr>
      <w:bookmarkEnd w:id="10"/>
      <w:tr w:rsidR="006C219E" w:rsidTr="007E6251">
        <w:tc>
          <w:tcPr>
            <w:tcW w:w="4601" w:type="dxa"/>
            <w:vAlign w:val="center"/>
          </w:tcPr>
          <w:p w:rsidR="006C219E" w:rsidRPr="008B1C2A" w:rsidRDefault="006C219E"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r w:rsidR="00E20AC2" w:rsidRPr="009C4B7D">
              <w:t>service’s</w:t>
            </w:r>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6C219E" w:rsidRPr="009C4B7D" w:rsidRDefault="00AC6EC6" w:rsidP="009F7207">
            <w:pPr>
              <w:jc w:val="center"/>
            </w:pPr>
            <w:r>
              <w:rPr>
                <w:noProof/>
              </w:rPr>
              <w:t>98.41</w:t>
            </w:r>
            <w:r w:rsidR="006C219E">
              <w:t>%</w:t>
            </w:r>
          </w:p>
        </w:tc>
        <w:tc>
          <w:tcPr>
            <w:tcW w:w="1744" w:type="dxa"/>
            <w:vAlign w:val="center"/>
          </w:tcPr>
          <w:p w:rsidR="006C219E" w:rsidRPr="009C4B7D" w:rsidRDefault="006C219E" w:rsidP="00EB21C0">
            <w:pPr>
              <w:jc w:val="center"/>
            </w:pPr>
            <w:r w:rsidRPr="009C4B7D">
              <w:t>100%</w:t>
            </w:r>
          </w:p>
        </w:tc>
        <w:tc>
          <w:tcPr>
            <w:tcW w:w="1883" w:type="dxa"/>
            <w:vAlign w:val="center"/>
          </w:tcPr>
          <w:p w:rsidR="006C219E" w:rsidRPr="009C4B7D" w:rsidRDefault="00842297" w:rsidP="00EB21C0">
            <w:pPr>
              <w:jc w:val="center"/>
            </w:pPr>
            <w:r>
              <w:rPr>
                <w:noProof/>
              </w:rPr>
              <w:t>No</w:t>
            </w:r>
          </w:p>
        </w:tc>
      </w:tr>
    </w:tbl>
    <w:p w:rsidR="00940461" w:rsidRDefault="00940461" w:rsidP="00CA2152"/>
    <w:p w:rsidR="007E5824" w:rsidRDefault="007E5824" w:rsidP="007E5824">
      <w:pPr>
        <w:spacing w:after="0"/>
      </w:pPr>
    </w:p>
    <w:p w:rsidR="006C219E" w:rsidRDefault="006C219E" w:rsidP="000702CB">
      <w:pPr>
        <w:pStyle w:val="Heading2"/>
      </w:pPr>
      <w:r w:rsidRPr="006C219E">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6C219E" w:rsidTr="000B5FF4">
        <w:trPr>
          <w:tblHeader/>
        </w:trPr>
        <w:tc>
          <w:tcPr>
            <w:tcW w:w="4608" w:type="dxa"/>
            <w:shd w:val="clear" w:color="auto" w:fill="F2F2F2" w:themeFill="background1" w:themeFillShade="F2"/>
            <w:vAlign w:val="center"/>
          </w:tcPr>
          <w:p w:rsidR="006C219E" w:rsidRPr="003B6DF7" w:rsidRDefault="003B6DF7" w:rsidP="000B5FF4">
            <w:pPr>
              <w:rPr>
                <w:b/>
              </w:rPr>
            </w:pPr>
            <w:bookmarkStart w:id="11" w:name="Title_17" w:colFirst="0" w:colLast="0"/>
            <w:r w:rsidRPr="003B6DF7">
              <w:rPr>
                <w:b/>
              </w:rPr>
              <w:t>Percent of youth who are no longer in secondary school, had IEPs in effect at the time they left school were:</w:t>
            </w:r>
          </w:p>
        </w:tc>
        <w:tc>
          <w:tcPr>
            <w:tcW w:w="1800" w:type="dxa"/>
            <w:shd w:val="clear" w:color="auto" w:fill="F2F2F2" w:themeFill="background1" w:themeFillShade="F2"/>
            <w:vAlign w:val="center"/>
          </w:tcPr>
          <w:p w:rsidR="006C219E" w:rsidRPr="009C4B7D" w:rsidRDefault="006C219E" w:rsidP="00EB21C0">
            <w:pPr>
              <w:jc w:val="center"/>
            </w:pPr>
            <w:r>
              <w:t>201</w:t>
            </w:r>
            <w:r w:rsidR="00DF2F5C">
              <w:t>9</w:t>
            </w:r>
            <w:r>
              <w:t>-20</w:t>
            </w:r>
            <w:r w:rsidR="00DF2F5C">
              <w:t>20</w:t>
            </w:r>
          </w:p>
          <w:p w:rsidR="006C219E" w:rsidRPr="009C4B7D" w:rsidRDefault="00E20AC2" w:rsidP="00EB21C0">
            <w:pPr>
              <w:jc w:val="center"/>
            </w:pPr>
            <w:r>
              <w:t>State</w:t>
            </w:r>
            <w:r w:rsidR="006C219E" w:rsidRPr="009C4B7D">
              <w:t xml:space="preserve"> Performance</w:t>
            </w:r>
          </w:p>
        </w:tc>
        <w:tc>
          <w:tcPr>
            <w:tcW w:w="1710" w:type="dxa"/>
            <w:shd w:val="clear" w:color="auto" w:fill="F2F2F2" w:themeFill="background1" w:themeFillShade="F2"/>
            <w:vAlign w:val="center"/>
          </w:tcPr>
          <w:p w:rsidR="006C219E" w:rsidRPr="009C4B7D" w:rsidRDefault="006C219E" w:rsidP="00EB21C0">
            <w:pPr>
              <w:jc w:val="center"/>
            </w:pPr>
            <w:r>
              <w:t>201</w:t>
            </w:r>
            <w:r w:rsidR="00DF2F5C">
              <w:t>9</w:t>
            </w:r>
            <w:r>
              <w:t>-20</w:t>
            </w:r>
            <w:r w:rsidR="00DF2F5C">
              <w:t>20</w:t>
            </w:r>
          </w:p>
          <w:p w:rsidR="006C219E" w:rsidRPr="009C4B7D" w:rsidRDefault="006C219E" w:rsidP="00EB21C0">
            <w:pPr>
              <w:jc w:val="center"/>
            </w:pPr>
            <w:r w:rsidRPr="009C4B7D">
              <w:t>State Target</w:t>
            </w:r>
          </w:p>
        </w:tc>
        <w:tc>
          <w:tcPr>
            <w:tcW w:w="1890" w:type="dxa"/>
            <w:shd w:val="clear" w:color="auto" w:fill="F2F2F2" w:themeFill="background1" w:themeFillShade="F2"/>
            <w:vAlign w:val="center"/>
          </w:tcPr>
          <w:p w:rsidR="006C219E" w:rsidRPr="009C4B7D" w:rsidRDefault="006C219E" w:rsidP="00EB21C0">
            <w:pPr>
              <w:jc w:val="center"/>
            </w:pPr>
            <w:r w:rsidRPr="009C4B7D">
              <w:t>State Target</w:t>
            </w:r>
          </w:p>
          <w:p w:rsidR="006C219E" w:rsidRPr="009C4B7D" w:rsidRDefault="006C219E" w:rsidP="00EB21C0">
            <w:pPr>
              <w:jc w:val="center"/>
            </w:pPr>
            <w:r w:rsidRPr="009C4B7D">
              <w:t>Met</w:t>
            </w:r>
          </w:p>
        </w:tc>
      </w:tr>
      <w:bookmarkEnd w:id="11"/>
      <w:tr w:rsidR="006C219E" w:rsidTr="007E6251">
        <w:tc>
          <w:tcPr>
            <w:tcW w:w="4608" w:type="dxa"/>
            <w:vAlign w:val="center"/>
          </w:tcPr>
          <w:p w:rsidR="006C219E" w:rsidRPr="009C4B7D" w:rsidRDefault="006C219E"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6C219E" w:rsidRPr="009C4B7D" w:rsidRDefault="00273B07" w:rsidP="00EB21C0">
            <w:pPr>
              <w:jc w:val="center"/>
            </w:pPr>
            <w:r>
              <w:rPr>
                <w:noProof/>
              </w:rPr>
              <w:t>34.44</w:t>
            </w:r>
            <w:r w:rsidR="006C219E">
              <w:rPr>
                <w:noProof/>
              </w:rPr>
              <w:t>%</w:t>
            </w:r>
          </w:p>
        </w:tc>
        <w:tc>
          <w:tcPr>
            <w:tcW w:w="1710" w:type="dxa"/>
            <w:vAlign w:val="center"/>
          </w:tcPr>
          <w:p w:rsidR="006C219E" w:rsidRPr="009C4B7D" w:rsidRDefault="006C219E" w:rsidP="00EB21C0">
            <w:pPr>
              <w:jc w:val="center"/>
            </w:pPr>
            <w:r w:rsidRPr="00B50CB1">
              <w:t>≥</w:t>
            </w:r>
            <w:r w:rsidR="00273B07">
              <w:t>35</w:t>
            </w:r>
            <w:r>
              <w:t>.0</w:t>
            </w:r>
            <w:r w:rsidRPr="009C4B7D">
              <w:t>%</w:t>
            </w:r>
          </w:p>
        </w:tc>
        <w:tc>
          <w:tcPr>
            <w:tcW w:w="1890" w:type="dxa"/>
            <w:vAlign w:val="center"/>
          </w:tcPr>
          <w:p w:rsidR="006C219E" w:rsidRPr="009C4B7D" w:rsidRDefault="00842297" w:rsidP="00EB21C0">
            <w:pPr>
              <w:jc w:val="center"/>
            </w:pPr>
            <w:r>
              <w:rPr>
                <w:noProof/>
              </w:rPr>
              <w:t>No</w:t>
            </w:r>
          </w:p>
        </w:tc>
      </w:tr>
      <w:tr w:rsidR="006C219E" w:rsidTr="007E6251">
        <w:tc>
          <w:tcPr>
            <w:tcW w:w="4608" w:type="dxa"/>
            <w:vAlign w:val="center"/>
          </w:tcPr>
          <w:p w:rsidR="006C219E" w:rsidRPr="009C4B7D" w:rsidRDefault="006C219E"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6C219E" w:rsidRPr="009C4B7D" w:rsidRDefault="00273B07" w:rsidP="00C227E3">
            <w:pPr>
              <w:jc w:val="center"/>
            </w:pPr>
            <w:r>
              <w:t>65.87</w:t>
            </w:r>
            <w:r w:rsidR="00842297">
              <w:t>%</w:t>
            </w:r>
          </w:p>
        </w:tc>
        <w:tc>
          <w:tcPr>
            <w:tcW w:w="1710" w:type="dxa"/>
            <w:vAlign w:val="center"/>
          </w:tcPr>
          <w:p w:rsidR="006C219E" w:rsidRPr="009C4B7D" w:rsidRDefault="006C219E" w:rsidP="00EB21C0">
            <w:pPr>
              <w:jc w:val="center"/>
            </w:pPr>
            <w:r w:rsidRPr="00B50CB1">
              <w:t>≥</w:t>
            </w:r>
            <w:r w:rsidR="00273B07">
              <w:t>65.0</w:t>
            </w:r>
            <w:r w:rsidRPr="009C4B7D">
              <w:t>%</w:t>
            </w:r>
          </w:p>
        </w:tc>
        <w:tc>
          <w:tcPr>
            <w:tcW w:w="1890" w:type="dxa"/>
            <w:vAlign w:val="center"/>
          </w:tcPr>
          <w:p w:rsidR="006C219E" w:rsidRPr="009C4B7D" w:rsidRDefault="00842297" w:rsidP="00EB21C0">
            <w:pPr>
              <w:jc w:val="center"/>
            </w:pPr>
            <w:r>
              <w:rPr>
                <w:noProof/>
              </w:rPr>
              <w:t>Yes</w:t>
            </w:r>
          </w:p>
        </w:tc>
      </w:tr>
      <w:tr w:rsidR="006C219E" w:rsidTr="007E6251">
        <w:tc>
          <w:tcPr>
            <w:tcW w:w="4608" w:type="dxa"/>
            <w:vAlign w:val="center"/>
          </w:tcPr>
          <w:p w:rsidR="006C219E" w:rsidRPr="009C4B7D" w:rsidRDefault="006C219E"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6C219E" w:rsidRPr="009C4B7D" w:rsidRDefault="00273B07" w:rsidP="00EB21C0">
            <w:pPr>
              <w:jc w:val="center"/>
            </w:pPr>
            <w:r>
              <w:t>73.66</w:t>
            </w:r>
            <w:r w:rsidR="00842297">
              <w:t>%</w:t>
            </w:r>
          </w:p>
        </w:tc>
        <w:tc>
          <w:tcPr>
            <w:tcW w:w="1710" w:type="dxa"/>
            <w:vAlign w:val="center"/>
          </w:tcPr>
          <w:p w:rsidR="006C219E" w:rsidRPr="009C4B7D" w:rsidRDefault="006C219E" w:rsidP="00EB21C0">
            <w:pPr>
              <w:jc w:val="center"/>
            </w:pPr>
            <w:r w:rsidRPr="00B50CB1">
              <w:t>≥</w:t>
            </w:r>
            <w:r w:rsidR="00504AC6">
              <w:t>72.0</w:t>
            </w:r>
            <w:r w:rsidRPr="009C4B7D">
              <w:t>%</w:t>
            </w:r>
          </w:p>
        </w:tc>
        <w:tc>
          <w:tcPr>
            <w:tcW w:w="1890" w:type="dxa"/>
            <w:vAlign w:val="center"/>
          </w:tcPr>
          <w:p w:rsidR="006C219E" w:rsidRPr="009C4B7D" w:rsidRDefault="00842297" w:rsidP="00EB21C0">
            <w:pPr>
              <w:jc w:val="center"/>
            </w:pPr>
            <w:r>
              <w:rPr>
                <w:noProof/>
              </w:rPr>
              <w:t>Yes</w:t>
            </w:r>
          </w:p>
        </w:tc>
      </w:tr>
    </w:tbl>
    <w:p w:rsidR="007E5824" w:rsidRDefault="007E5824" w:rsidP="007E5824">
      <w:pPr>
        <w:spacing w:after="0" w:line="240" w:lineRule="auto"/>
      </w:pPr>
    </w:p>
    <w:sectPr w:rsidR="007E5824" w:rsidSect="004C3FF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214" w:rsidRDefault="004B5214" w:rsidP="004C3FF6">
      <w:pPr>
        <w:spacing w:after="0" w:line="240" w:lineRule="auto"/>
      </w:pPr>
      <w:r>
        <w:separator/>
      </w:r>
    </w:p>
  </w:endnote>
  <w:endnote w:type="continuationSeparator" w:id="0">
    <w:p w:rsidR="004B5214" w:rsidRDefault="004B5214" w:rsidP="004C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214" w:rsidRDefault="004B5214" w:rsidP="004C3FF6">
      <w:pPr>
        <w:spacing w:after="0" w:line="240" w:lineRule="auto"/>
      </w:pPr>
      <w:r>
        <w:separator/>
      </w:r>
    </w:p>
  </w:footnote>
  <w:footnote w:type="continuationSeparator" w:id="0">
    <w:p w:rsidR="004B5214" w:rsidRDefault="004B5214" w:rsidP="004C3F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F6"/>
    <w:rsid w:val="000543C1"/>
    <w:rsid w:val="000702CB"/>
    <w:rsid w:val="00087A94"/>
    <w:rsid w:val="000961FA"/>
    <w:rsid w:val="000B1AF0"/>
    <w:rsid w:val="000B5FF4"/>
    <w:rsid w:val="000E6886"/>
    <w:rsid w:val="001203EC"/>
    <w:rsid w:val="00165F1E"/>
    <w:rsid w:val="001759A0"/>
    <w:rsid w:val="001A359B"/>
    <w:rsid w:val="001A7C9E"/>
    <w:rsid w:val="001F027F"/>
    <w:rsid w:val="0024000B"/>
    <w:rsid w:val="002574A5"/>
    <w:rsid w:val="00273B07"/>
    <w:rsid w:val="002B54B2"/>
    <w:rsid w:val="00325E87"/>
    <w:rsid w:val="00352168"/>
    <w:rsid w:val="003628BF"/>
    <w:rsid w:val="00362BAB"/>
    <w:rsid w:val="003807AC"/>
    <w:rsid w:val="00397E71"/>
    <w:rsid w:val="003B6DF7"/>
    <w:rsid w:val="00422D0A"/>
    <w:rsid w:val="00451EBD"/>
    <w:rsid w:val="00455BAB"/>
    <w:rsid w:val="004B5214"/>
    <w:rsid w:val="004C3FF6"/>
    <w:rsid w:val="004D3517"/>
    <w:rsid w:val="00504AC6"/>
    <w:rsid w:val="00507A49"/>
    <w:rsid w:val="005322DC"/>
    <w:rsid w:val="005B54FB"/>
    <w:rsid w:val="005C3235"/>
    <w:rsid w:val="00632A7E"/>
    <w:rsid w:val="00653283"/>
    <w:rsid w:val="006A5248"/>
    <w:rsid w:val="006B2189"/>
    <w:rsid w:val="006C219E"/>
    <w:rsid w:val="006D2BDF"/>
    <w:rsid w:val="006F1318"/>
    <w:rsid w:val="006F6227"/>
    <w:rsid w:val="007055A4"/>
    <w:rsid w:val="00721C4C"/>
    <w:rsid w:val="007344D0"/>
    <w:rsid w:val="007B691B"/>
    <w:rsid w:val="007E117D"/>
    <w:rsid w:val="007E5824"/>
    <w:rsid w:val="007E6251"/>
    <w:rsid w:val="00813927"/>
    <w:rsid w:val="00834315"/>
    <w:rsid w:val="00842297"/>
    <w:rsid w:val="00845D2F"/>
    <w:rsid w:val="00852513"/>
    <w:rsid w:val="00940461"/>
    <w:rsid w:val="00943537"/>
    <w:rsid w:val="00964E04"/>
    <w:rsid w:val="009671B7"/>
    <w:rsid w:val="00977EB5"/>
    <w:rsid w:val="009F7207"/>
    <w:rsid w:val="00A02403"/>
    <w:rsid w:val="00A115CD"/>
    <w:rsid w:val="00A30575"/>
    <w:rsid w:val="00A57CC4"/>
    <w:rsid w:val="00A82E32"/>
    <w:rsid w:val="00AA5FB3"/>
    <w:rsid w:val="00AB265D"/>
    <w:rsid w:val="00AC6EC6"/>
    <w:rsid w:val="00AF1311"/>
    <w:rsid w:val="00AF1420"/>
    <w:rsid w:val="00AF4B4B"/>
    <w:rsid w:val="00B10036"/>
    <w:rsid w:val="00B139B8"/>
    <w:rsid w:val="00B37861"/>
    <w:rsid w:val="00B52D8D"/>
    <w:rsid w:val="00B65F39"/>
    <w:rsid w:val="00BC5DDC"/>
    <w:rsid w:val="00C227E3"/>
    <w:rsid w:val="00C22B6B"/>
    <w:rsid w:val="00C470DA"/>
    <w:rsid w:val="00C93E19"/>
    <w:rsid w:val="00CA2152"/>
    <w:rsid w:val="00CC5DDA"/>
    <w:rsid w:val="00D01E25"/>
    <w:rsid w:val="00D07605"/>
    <w:rsid w:val="00D22414"/>
    <w:rsid w:val="00D4352C"/>
    <w:rsid w:val="00D443C8"/>
    <w:rsid w:val="00D77F5D"/>
    <w:rsid w:val="00DA389C"/>
    <w:rsid w:val="00DC2172"/>
    <w:rsid w:val="00DF2F5C"/>
    <w:rsid w:val="00E20AC2"/>
    <w:rsid w:val="00E34DCD"/>
    <w:rsid w:val="00E432A4"/>
    <w:rsid w:val="00E53C3A"/>
    <w:rsid w:val="00E546E9"/>
    <w:rsid w:val="00E74D08"/>
    <w:rsid w:val="00E84B09"/>
    <w:rsid w:val="00EB1819"/>
    <w:rsid w:val="00EB21C0"/>
    <w:rsid w:val="00EC0483"/>
    <w:rsid w:val="00ED3249"/>
    <w:rsid w:val="00EE2634"/>
    <w:rsid w:val="00F1244D"/>
    <w:rsid w:val="00F40F11"/>
    <w:rsid w:val="00F42874"/>
    <w:rsid w:val="00F4288F"/>
    <w:rsid w:val="00F65BE4"/>
    <w:rsid w:val="00F81BFD"/>
    <w:rsid w:val="00F83528"/>
    <w:rsid w:val="00F8629C"/>
    <w:rsid w:val="00FC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41B788A-EA95-4A39-A564-037F3BE0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B6B"/>
    <w:rPr>
      <w:rFonts w:ascii="Times New Roman" w:hAnsi="Times New Roman"/>
      <w:sz w:val="24"/>
    </w:rPr>
  </w:style>
  <w:style w:type="paragraph" w:styleId="Heading1">
    <w:name w:val="heading 1"/>
    <w:basedOn w:val="Normal"/>
    <w:next w:val="Normal"/>
    <w:link w:val="Heading1Char"/>
    <w:uiPriority w:val="9"/>
    <w:qFormat/>
    <w:rsid w:val="000702CB"/>
    <w:pPr>
      <w:keepNext/>
      <w:keepLines/>
      <w:spacing w:after="0" w:line="240" w:lineRule="auto"/>
      <w:jc w:val="center"/>
      <w:outlineLvl w:val="0"/>
    </w:pPr>
    <w:rPr>
      <w:rFonts w:eastAsiaTheme="majorEastAsia" w:cstheme="majorBidi"/>
      <w:b/>
      <w:bCs/>
      <w:color w:val="1F497D" w:themeColor="text2"/>
      <w:sz w:val="40"/>
      <w:szCs w:val="28"/>
    </w:rPr>
  </w:style>
  <w:style w:type="paragraph" w:styleId="Heading2">
    <w:name w:val="heading 2"/>
    <w:basedOn w:val="Normal"/>
    <w:next w:val="Normal"/>
    <w:link w:val="Heading2Char"/>
    <w:uiPriority w:val="9"/>
    <w:unhideWhenUsed/>
    <w:qFormat/>
    <w:rsid w:val="000702CB"/>
    <w:pPr>
      <w:spacing w:after="0" w:line="240" w:lineRule="auto"/>
      <w:ind w:right="-720"/>
      <w:outlineLvl w:val="1"/>
    </w:pPr>
    <w:rPr>
      <w:rFonts w:eastAsia="Times New Roman" w:cs="Times New Roman"/>
      <w:b/>
      <w:noProof/>
      <w:color w:val="1F497D" w:themeColor="text2"/>
      <w:sz w:val="32"/>
      <w:szCs w:val="32"/>
    </w:rPr>
  </w:style>
  <w:style w:type="paragraph" w:styleId="Heading3">
    <w:name w:val="heading 3"/>
    <w:basedOn w:val="Heading2"/>
    <w:next w:val="Normal"/>
    <w:link w:val="Heading3Char"/>
    <w:uiPriority w:val="9"/>
    <w:unhideWhenUsed/>
    <w:qFormat/>
    <w:rsid w:val="00CA2152"/>
    <w:pPr>
      <w:outlineLvl w:val="2"/>
    </w:pPr>
    <w:rPr>
      <w:shd w:val="clear" w:color="auto" w:fill="FFFFFF"/>
    </w:rPr>
  </w:style>
  <w:style w:type="paragraph" w:styleId="Heading4">
    <w:name w:val="heading 4"/>
    <w:basedOn w:val="Normal"/>
    <w:next w:val="Normal"/>
    <w:link w:val="Heading4Char"/>
    <w:uiPriority w:val="9"/>
    <w:unhideWhenUsed/>
    <w:qFormat/>
    <w:rsid w:val="00CA21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FF6"/>
    <w:rPr>
      <w:rFonts w:ascii="Tahoma" w:hAnsi="Tahoma" w:cs="Tahoma"/>
      <w:sz w:val="16"/>
      <w:szCs w:val="16"/>
    </w:rPr>
  </w:style>
  <w:style w:type="paragraph" w:styleId="Header">
    <w:name w:val="header"/>
    <w:basedOn w:val="Normal"/>
    <w:link w:val="HeaderChar"/>
    <w:unhideWhenUsed/>
    <w:rsid w:val="004C3FF6"/>
    <w:pPr>
      <w:tabs>
        <w:tab w:val="center" w:pos="4680"/>
        <w:tab w:val="right" w:pos="9360"/>
      </w:tabs>
      <w:spacing w:after="0" w:line="240" w:lineRule="auto"/>
    </w:pPr>
  </w:style>
  <w:style w:type="character" w:customStyle="1" w:styleId="HeaderChar">
    <w:name w:val="Header Char"/>
    <w:basedOn w:val="DefaultParagraphFont"/>
    <w:link w:val="Header"/>
    <w:rsid w:val="004C3FF6"/>
  </w:style>
  <w:style w:type="paragraph" w:styleId="Footer">
    <w:name w:val="footer"/>
    <w:basedOn w:val="Normal"/>
    <w:link w:val="FooterChar"/>
    <w:uiPriority w:val="99"/>
    <w:unhideWhenUsed/>
    <w:rsid w:val="004C3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FF6"/>
  </w:style>
  <w:style w:type="character" w:customStyle="1" w:styleId="Heading1Char">
    <w:name w:val="Heading 1 Char"/>
    <w:basedOn w:val="DefaultParagraphFont"/>
    <w:link w:val="Heading1"/>
    <w:uiPriority w:val="9"/>
    <w:rsid w:val="000702CB"/>
    <w:rPr>
      <w:rFonts w:ascii="Times New Roman" w:eastAsiaTheme="majorEastAsia" w:hAnsi="Times New Roman" w:cstheme="majorBidi"/>
      <w:b/>
      <w:bCs/>
      <w:color w:val="1F497D" w:themeColor="text2"/>
      <w:sz w:val="40"/>
      <w:szCs w:val="28"/>
    </w:rPr>
  </w:style>
  <w:style w:type="character" w:customStyle="1" w:styleId="Heading2Char">
    <w:name w:val="Heading 2 Char"/>
    <w:basedOn w:val="DefaultParagraphFont"/>
    <w:link w:val="Heading2"/>
    <w:uiPriority w:val="9"/>
    <w:rsid w:val="000702CB"/>
    <w:rPr>
      <w:rFonts w:ascii="Times New Roman" w:eastAsia="Times New Roman" w:hAnsi="Times New Roman" w:cs="Times New Roman"/>
      <w:b/>
      <w:noProof/>
      <w:color w:val="1F497D" w:themeColor="text2"/>
      <w:sz w:val="32"/>
      <w:szCs w:val="32"/>
    </w:rPr>
  </w:style>
  <w:style w:type="table" w:styleId="TableGrid">
    <w:name w:val="Table Grid"/>
    <w:basedOn w:val="TableNormal"/>
    <w:uiPriority w:val="59"/>
    <w:rsid w:val="00397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A2152"/>
    <w:rPr>
      <w:rFonts w:ascii="Times New Roman" w:eastAsia="Times New Roman" w:hAnsi="Times New Roman" w:cs="Times New Roman"/>
      <w:b/>
      <w:noProof/>
      <w:color w:val="1F497D" w:themeColor="text2"/>
      <w:sz w:val="32"/>
      <w:szCs w:val="32"/>
    </w:rPr>
  </w:style>
  <w:style w:type="character" w:customStyle="1" w:styleId="Heading4Char">
    <w:name w:val="Heading 4 Char"/>
    <w:basedOn w:val="DefaultParagraphFont"/>
    <w:link w:val="Heading4"/>
    <w:uiPriority w:val="9"/>
    <w:rsid w:val="00CA2152"/>
    <w:rPr>
      <w:rFonts w:asciiTheme="majorHAnsi" w:eastAsiaTheme="majorEastAsia" w:hAnsiTheme="majorHAnsi" w:cstheme="majorBidi"/>
      <w:b/>
      <w:bCs/>
      <w:i/>
      <w:iCs/>
      <w:color w:val="4F81BD" w:themeColor="accent1"/>
      <w:sz w:val="24"/>
    </w:rPr>
  </w:style>
  <w:style w:type="character" w:styleId="Hyperlink">
    <w:name w:val="Hyperlink"/>
    <w:basedOn w:val="DefaultParagraphFont"/>
    <w:uiPriority w:val="99"/>
    <w:unhideWhenUsed/>
    <w:rsid w:val="007E6251"/>
    <w:rPr>
      <w:color w:val="0000FF" w:themeColor="hyperlink"/>
      <w:u w:val="single"/>
    </w:rPr>
  </w:style>
  <w:style w:type="character" w:styleId="FollowedHyperlink">
    <w:name w:val="FollowedHyperlink"/>
    <w:basedOn w:val="DefaultParagraphFont"/>
    <w:uiPriority w:val="99"/>
    <w:semiHidden/>
    <w:unhideWhenUsed/>
    <w:rsid w:val="007B691B"/>
    <w:rPr>
      <w:color w:val="800080" w:themeColor="followedHyperlink"/>
      <w:u w:val="single"/>
    </w:rPr>
  </w:style>
  <w:style w:type="table" w:customStyle="1" w:styleId="TableGrid1">
    <w:name w:val="Table Grid1"/>
    <w:basedOn w:val="TableNormal"/>
    <w:next w:val="TableGrid"/>
    <w:uiPriority w:val="59"/>
    <w:rsid w:val="00E54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4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4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e.virginia.gov/special_ed/reports_plans_stats/index.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A51D4-AC83-463D-BF74-B7D18118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1128</Words>
  <Characters>6707</Characters>
  <Application>Microsoft Office Word</Application>
  <DocSecurity>0</DocSecurity>
  <Lines>394</Lines>
  <Paragraphs>244</Paragraphs>
  <ScaleCrop>false</ScaleCrop>
  <HeadingPairs>
    <vt:vector size="2" baseType="variant">
      <vt:variant>
        <vt:lpstr>Title</vt:lpstr>
      </vt:variant>
      <vt:variant>
        <vt:i4>1</vt:i4>
      </vt:variant>
    </vt:vector>
  </HeadingPairs>
  <TitlesOfParts>
    <vt:vector size="1" baseType="lpstr">
      <vt:lpstr>FFY 2016 Special Education Performance Report</vt:lpstr>
    </vt:vector>
  </TitlesOfParts>
  <Company>Virginia IT Infrastructure Partnership</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FFY 2019 State Special Education Performance Report</dc:title>
  <dc:creator>Annie Gaines</dc:creator>
  <cp:lastModifiedBy>VITA Program</cp:lastModifiedBy>
  <cp:revision>3</cp:revision>
  <cp:lastPrinted>2019-05-16T13:51:00Z</cp:lastPrinted>
  <dcterms:created xsi:type="dcterms:W3CDTF">2021-05-21T14:26:00Z</dcterms:created>
  <dcterms:modified xsi:type="dcterms:W3CDTF">2021-05-24T13:10:00Z</dcterms:modified>
</cp:coreProperties>
</file>