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36" w:rsidRPr="0037751D" w:rsidRDefault="0037751D" w:rsidP="00E74DCF">
      <w:pPr>
        <w:pStyle w:val="Title"/>
        <w:spacing w:line="276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37751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Virginia Department of Education</w:t>
      </w:r>
    </w:p>
    <w:p w:rsidR="0037751D" w:rsidRPr="0037751D" w:rsidRDefault="0037751D" w:rsidP="00E74DCF">
      <w:pPr>
        <w:pStyle w:val="Title"/>
        <w:spacing w:line="276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37751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American Rescue Plan Act Maintenance of Equity Requirements for Local Educational Agencies</w:t>
      </w:r>
    </w:p>
    <w:p w:rsidR="0037751D" w:rsidRDefault="0037751D" w:rsidP="00E74DCF">
      <w:pPr>
        <w:pStyle w:val="Title"/>
        <w:spacing w:line="276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37751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School Year 2021-2022/Fiscal Year 2022</w:t>
      </w:r>
    </w:p>
    <w:p w:rsidR="0037751D" w:rsidRDefault="0037751D" w:rsidP="0037751D"/>
    <w:p w:rsidR="0037751D" w:rsidRDefault="00F456D5" w:rsidP="00377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7751D" w:rsidRPr="0037751D">
          <w:rPr>
            <w:rStyle w:val="Hyperlink"/>
            <w:rFonts w:ascii="Times New Roman" w:hAnsi="Times New Roman" w:cs="Times New Roman"/>
            <w:sz w:val="24"/>
            <w:szCs w:val="24"/>
          </w:rPr>
          <w:t>Section 2004(c) of the American Rescue Plan (ARP) Act</w:t>
        </w:r>
      </w:hyperlink>
      <w:r w:rsidR="0037751D" w:rsidRPr="0037751D">
        <w:rPr>
          <w:rFonts w:ascii="Times New Roman" w:hAnsi="Times New Roman" w:cs="Times New Roman"/>
          <w:sz w:val="24"/>
          <w:szCs w:val="24"/>
        </w:rPr>
        <w:t xml:space="preserve"> requires Local Educational Agencies (LEAs) to meet Maintenance of Equity requirements as a condition of receiving ARP Act Elementary and Secondary School Emergency Relief (ESSER) funds. An LEA that received ARP Act ESSER funds may not reduce per-pupil funding (from combined state and local funding) for any high-poverty school by an amount that exceeds the total reduction across all schools in the LEA. An LEA also may not reduce per-pupil, full-time equivalent (FTE) staff in any high-poverty school by an amount that exceeds the total reduction in FTE staff across all schools in the LEA. These requirements are applicable in school years 2021-2022 and 2022-2023 (fiscal years 2022 and 2023). </w:t>
      </w:r>
    </w:p>
    <w:p w:rsidR="0037751D" w:rsidRPr="0037751D" w:rsidRDefault="0037751D" w:rsidP="0037751D">
      <w:pPr>
        <w:pStyle w:val="Heading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7751D">
        <w:rPr>
          <w:rFonts w:ascii="Times New Roman" w:hAnsi="Times New Roman" w:cs="Times New Roman"/>
          <w:b/>
          <w:color w:val="C00000"/>
          <w:sz w:val="24"/>
          <w:szCs w:val="24"/>
        </w:rPr>
        <w:t>Identification of Excepted LEAs</w:t>
      </w:r>
    </w:p>
    <w:p w:rsidR="0037751D" w:rsidRPr="0037751D" w:rsidRDefault="0037751D" w:rsidP="0037751D"/>
    <w:p w:rsidR="0037751D" w:rsidRDefault="0037751D" w:rsidP="00377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An LEA may be excepted from the requirements if it meets one of the criteria below.</w:t>
      </w:r>
    </w:p>
    <w:p w:rsidR="0037751D" w:rsidRDefault="0037751D" w:rsidP="0037751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The LEA has a total enrollment of less than 1,000 students</w:t>
      </w:r>
    </w:p>
    <w:p w:rsidR="0037751D" w:rsidRDefault="0037751D" w:rsidP="0037751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The LEA operates a single school</w:t>
      </w:r>
    </w:p>
    <w:p w:rsidR="0037751D" w:rsidRDefault="0037751D" w:rsidP="0037751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The LEA serves all students within each grade span within a single school</w:t>
      </w:r>
    </w:p>
    <w:p w:rsidR="0037751D" w:rsidRDefault="0037751D" w:rsidP="0037751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The LEA has been granted an exception from the U.S. Department of Education due to an exceptional or unco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7751D">
        <w:rPr>
          <w:rFonts w:ascii="Times New Roman" w:hAnsi="Times New Roman" w:cs="Times New Roman"/>
          <w:sz w:val="24"/>
          <w:szCs w:val="24"/>
        </w:rPr>
        <w:t>trollable circumstance under Secti</w:t>
      </w:r>
      <w:r>
        <w:rPr>
          <w:rFonts w:ascii="Times New Roman" w:hAnsi="Times New Roman" w:cs="Times New Roman"/>
          <w:sz w:val="24"/>
          <w:szCs w:val="24"/>
        </w:rPr>
        <w:t>on 2004(c)(2)(D) of the ARP Act</w:t>
      </w:r>
    </w:p>
    <w:p w:rsidR="0037751D" w:rsidRDefault="0037751D" w:rsidP="0037751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>The LEA has certified to the Virginia Department of Education that it did not have an aggregate reduction in combined state and local per pupil funding</w:t>
      </w:r>
    </w:p>
    <w:p w:rsidR="00B71575" w:rsidRDefault="0037751D" w:rsidP="001117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 xml:space="preserve">On June 8, 2022, the U.S. Department of Education published a </w:t>
      </w:r>
      <w:hyperlink r:id="rId6" w:history="1">
        <w:r w:rsidRPr="00810E36">
          <w:rPr>
            <w:rStyle w:val="Hyperlink"/>
            <w:rFonts w:ascii="Times New Roman" w:hAnsi="Times New Roman" w:cs="Times New Roman"/>
            <w:sz w:val="24"/>
            <w:szCs w:val="24"/>
          </w:rPr>
          <w:t>Notice of Final Requirement (NFR)</w:t>
        </w:r>
      </w:hyperlink>
      <w:r w:rsidRPr="0037751D">
        <w:rPr>
          <w:rFonts w:ascii="Times New Roman" w:hAnsi="Times New Roman" w:cs="Times New Roman"/>
          <w:sz w:val="24"/>
          <w:szCs w:val="24"/>
        </w:rPr>
        <w:t xml:space="preserve"> regarding Section 2004(c) of the ARP Act. The NFR establishes state requirements for publishing LEA-</w:t>
      </w:r>
      <w:r w:rsidR="001C2E68">
        <w:rPr>
          <w:rFonts w:ascii="Times New Roman" w:hAnsi="Times New Roman" w:cs="Times New Roman"/>
          <w:sz w:val="24"/>
          <w:szCs w:val="24"/>
        </w:rPr>
        <w:t xml:space="preserve"> and school-</w:t>
      </w:r>
      <w:r w:rsidRPr="0037751D">
        <w:rPr>
          <w:rFonts w:ascii="Times New Roman" w:hAnsi="Times New Roman" w:cs="Times New Roman"/>
          <w:sz w:val="24"/>
          <w:szCs w:val="24"/>
        </w:rPr>
        <w:t xml:space="preserve">level Maintenance of Equity data to demonstrate that LEAs are maintaining both fiscal and staffing equity in fiscal years 2022 and 2023. </w:t>
      </w:r>
    </w:p>
    <w:p w:rsidR="0011171C" w:rsidRDefault="0037751D" w:rsidP="001117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51D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810E36">
        <w:rPr>
          <w:rFonts w:ascii="Times New Roman" w:hAnsi="Times New Roman" w:cs="Times New Roman"/>
          <w:sz w:val="24"/>
          <w:szCs w:val="24"/>
        </w:rPr>
        <w:t>below</w:t>
      </w:r>
      <w:r w:rsidRPr="0037751D">
        <w:rPr>
          <w:rFonts w:ascii="Times New Roman" w:hAnsi="Times New Roman" w:cs="Times New Roman"/>
          <w:sz w:val="24"/>
          <w:szCs w:val="24"/>
        </w:rPr>
        <w:t xml:space="preserve"> meets the NFR requirement to publish a list of LEAs that </w:t>
      </w:r>
      <w:r w:rsidR="001C2E68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1C2E68">
        <w:rPr>
          <w:rFonts w:ascii="Times New Roman" w:hAnsi="Times New Roman" w:cs="Times New Roman"/>
          <w:sz w:val="24"/>
          <w:szCs w:val="24"/>
        </w:rPr>
        <w:t>excepted</w:t>
      </w:r>
      <w:proofErr w:type="gramEnd"/>
      <w:r w:rsidR="001C2E68">
        <w:rPr>
          <w:rFonts w:ascii="Times New Roman" w:hAnsi="Times New Roman" w:cs="Times New Roman"/>
          <w:sz w:val="24"/>
          <w:szCs w:val="24"/>
        </w:rPr>
        <w:t xml:space="preserve"> from the ARP Act Maintenance of </w:t>
      </w:r>
      <w:r w:rsidRPr="0037751D">
        <w:rPr>
          <w:rFonts w:ascii="Times New Roman" w:hAnsi="Times New Roman" w:cs="Times New Roman"/>
          <w:sz w:val="24"/>
          <w:szCs w:val="24"/>
        </w:rPr>
        <w:t>Equity requirement for school year 2021-2022/fiscal year 2022. If multiple criteria apply to an LEA, the first applicable exception is listed.</w:t>
      </w:r>
    </w:p>
    <w:p w:rsidR="0011171C" w:rsidRPr="0011171C" w:rsidRDefault="0011171C" w:rsidP="0011171C">
      <w:r>
        <w:br w:type="page"/>
      </w:r>
    </w:p>
    <w:tbl>
      <w:tblPr>
        <w:tblStyle w:val="TableGrid"/>
        <w:tblW w:w="10165" w:type="dxa"/>
        <w:jc w:val="center"/>
        <w:tblLayout w:type="fixed"/>
        <w:tblLook w:val="04A0" w:firstRow="1" w:lastRow="0" w:firstColumn="1" w:lastColumn="0" w:noHBand="0" w:noVBand="1"/>
        <w:tblCaption w:val="List of Excepted LEAs"/>
        <w:tblDescription w:val="This table provides a list of LEAs excepted from the Maintenance of Equity requrement for school year 2021-2022 and the reason for exception."/>
      </w:tblPr>
      <w:tblGrid>
        <w:gridCol w:w="1189"/>
        <w:gridCol w:w="792"/>
        <w:gridCol w:w="2472"/>
        <w:gridCol w:w="952"/>
        <w:gridCol w:w="952"/>
        <w:gridCol w:w="952"/>
        <w:gridCol w:w="952"/>
        <w:gridCol w:w="952"/>
        <w:gridCol w:w="952"/>
      </w:tblGrid>
      <w:tr w:rsidR="00810E36" w:rsidTr="00F456D5">
        <w:trPr>
          <w:tblHeader/>
          <w:jc w:val="center"/>
        </w:trPr>
        <w:tc>
          <w:tcPr>
            <w:tcW w:w="1189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LEA NCES ID</w:t>
            </w:r>
          </w:p>
        </w:tc>
        <w:tc>
          <w:tcPr>
            <w:tcW w:w="79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</w:t>
            </w:r>
          </w:p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</w:t>
            </w:r>
          </w:p>
        </w:tc>
        <w:tc>
          <w:tcPr>
            <w:tcW w:w="247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LEA/School Division Name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Excep-tion A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Excep-tion B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Excep-tion C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Excep-tion D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Excep-tion E</w:t>
            </w:r>
          </w:p>
        </w:tc>
        <w:tc>
          <w:tcPr>
            <w:tcW w:w="952" w:type="dxa"/>
            <w:vAlign w:val="bottom"/>
          </w:tcPr>
          <w:p w:rsidR="00810E36" w:rsidRPr="0011171C" w:rsidRDefault="00810E36" w:rsidP="00810E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 Excep-ted</w:t>
            </w: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ACCOMACK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ALBEMARLE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5100152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ALLEGHANY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5100180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AMELIA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5100210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5100240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APPOMATTOX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5100270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5100300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AUGUSTA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5100330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BATH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5100360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5100390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5100420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BOTETOURT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5100480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BRUNSWICK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BUCHANAN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BUCKINGHAM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5100600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CAMPBELL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5100660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CAROLINE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5100690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CARROLL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5100720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CHARLES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5100750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CHARLOTTE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5100840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5100870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CLARKE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5101020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5101050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CULPEPER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5101080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CUMBERLAND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5101140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DICKENSON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5101170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DINWIDDIE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5101200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5101260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FAIRFAX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5101320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FAUQUIER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5101350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FLOYD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5101380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FLUVANNA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5101440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5101470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FREDERICK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5101590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GILES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5101620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5101650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GOOCHLAND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5101690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GRAYSON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5101710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5101740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GREENSVILLE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5101770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5101830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HANOVER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5101890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HENRICO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5101920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5101950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5102010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ISLE OF WIGHT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5102100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KING GEORGE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5102070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KING AND QUEEN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5102120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KING WILLIAM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5102160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5102190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5102250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LOUDOUN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5102280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LOUISA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5102310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5102370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5102430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MATHEWS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5102460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MECKLENBURG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5102490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MIDDLESEX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5102520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MONTGOMERY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5102580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NELSON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5102610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KENT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5102710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5102730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NORTHUMBERLAND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5102790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NOTTOWAY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5102820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5102850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5102880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5102940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PITTSYLVANIA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5103030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POWHATAN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5103060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PRINCE EDWARD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5103090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PRINCE GEORGE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5103130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PRINCE WILLIAM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5103150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PULASKI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5103210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RAPPAHANNOCK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5103270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5103330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ROANOKE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5103370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ROCKBRIDGE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5103390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ROCKINGHAM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5103420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5103480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5103510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SHENANDOAH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5103520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SMYTH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5103600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5103640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SPOTSYLVANIA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5103660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STAFFORD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5103750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SURRY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5103780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SUSSEX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5103810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TAZEWELL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5103870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5103900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5103980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WESTMORELAND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5104080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5104110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WYTHE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5104150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YORK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5100120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ALEXANDRIA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5100450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BUENA VISTA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5100780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CHARLOTTESVILLE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5100960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COLONIAL HEIGHTS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5100990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COVINGTON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5101110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DANVILLE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5101290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FALLS CHURCH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5101510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FREDERICKSBURG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5101560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5101800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HAMPTON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5101860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HARRISONBURG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5101980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HOPEWELL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5102340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LYNCHBURG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5102400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MARTINSVILLE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5102640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NEWPORT NEWS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5102670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5102760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5102910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PETERSBURG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5103000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5103180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RADFORD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5103240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RICHMOND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5103300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ROANOKE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5103690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STAUNTON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5103710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SUFFOLK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5103840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VIRGINIA BEACH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5103930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WAYNESBORO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5104020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WILLIAMSBURG-JAMES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5104020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5101410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FRANKLIN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5100810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CHESAPEAKE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5102220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5103460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5102980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POQUOSON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5102360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MANASSAS CITY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5102390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MANASSAS PARK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5100930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COLONIAL BEACH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71C" w:rsidTr="00F456D5">
        <w:trPr>
          <w:jc w:val="center"/>
        </w:trPr>
        <w:tc>
          <w:tcPr>
            <w:tcW w:w="1189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5103950</w:t>
            </w:r>
          </w:p>
        </w:tc>
        <w:tc>
          <w:tcPr>
            <w:tcW w:w="79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472" w:type="dxa"/>
            <w:vAlign w:val="bottom"/>
          </w:tcPr>
          <w:p w:rsidR="0011171C" w:rsidRPr="0011171C" w:rsidRDefault="0011171C" w:rsidP="001117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POINT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11171C" w:rsidRPr="0011171C" w:rsidRDefault="0011171C" w:rsidP="0011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D5" w:rsidTr="00F456D5">
        <w:trPr>
          <w:jc w:val="center"/>
        </w:trPr>
        <w:tc>
          <w:tcPr>
            <w:tcW w:w="1189" w:type="dxa"/>
            <w:vAlign w:val="bottom"/>
          </w:tcPr>
          <w:p w:rsidR="00F456D5" w:rsidRPr="00F456D5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5100058</w:t>
            </w:r>
          </w:p>
        </w:tc>
        <w:tc>
          <w:tcPr>
            <w:tcW w:w="792" w:type="dxa"/>
            <w:vAlign w:val="bottom"/>
          </w:tcPr>
          <w:p w:rsidR="00F456D5" w:rsidRPr="00F456D5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472" w:type="dxa"/>
            <w:vAlign w:val="bottom"/>
          </w:tcPr>
          <w:p w:rsidR="00F456D5" w:rsidRPr="0011171C" w:rsidRDefault="00F456D5" w:rsidP="00F456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VIRGINIA SCHOOL FOR THE DEAF AND BLIND</w:t>
            </w: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D5" w:rsidTr="00F456D5">
        <w:trPr>
          <w:jc w:val="center"/>
        </w:trPr>
        <w:tc>
          <w:tcPr>
            <w:tcW w:w="1189" w:type="dxa"/>
            <w:vAlign w:val="bottom"/>
          </w:tcPr>
          <w:p w:rsidR="00F456D5" w:rsidRPr="00F456D5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5100070</w:t>
            </w:r>
          </w:p>
        </w:tc>
        <w:tc>
          <w:tcPr>
            <w:tcW w:w="792" w:type="dxa"/>
            <w:vAlign w:val="bottom"/>
          </w:tcPr>
          <w:p w:rsidR="00F456D5" w:rsidRPr="00F456D5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472" w:type="dxa"/>
            <w:vAlign w:val="bottom"/>
          </w:tcPr>
          <w:p w:rsidR="00F456D5" w:rsidRPr="0011171C" w:rsidRDefault="00F456D5" w:rsidP="00F456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 OF JUVENILE JUSTICE</w:t>
            </w: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F456D5" w:rsidRPr="0011171C" w:rsidRDefault="00F456D5" w:rsidP="00F45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0E36" w:rsidRDefault="00810E36" w:rsidP="00377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171C" w:rsidRDefault="00B71575" w:rsidP="0011171C">
      <w:pPr>
        <w:pStyle w:val="Heading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Identification of High Poverty Schools in </w:t>
      </w:r>
      <w:r w:rsidR="0011171C" w:rsidRPr="0011171C">
        <w:rPr>
          <w:rFonts w:ascii="Times New Roman" w:hAnsi="Times New Roman" w:cs="Times New Roman"/>
          <w:b/>
          <w:color w:val="C00000"/>
          <w:sz w:val="24"/>
          <w:szCs w:val="24"/>
        </w:rPr>
        <w:t>Nonexcepted LEAs</w:t>
      </w:r>
    </w:p>
    <w:p w:rsidR="0011171C" w:rsidRPr="0011171C" w:rsidRDefault="0011171C" w:rsidP="0011171C"/>
    <w:p w:rsidR="0011171C" w:rsidRDefault="0011171C" w:rsidP="0011171C">
      <w:pPr>
        <w:rPr>
          <w:rFonts w:ascii="Times New Roman" w:hAnsi="Times New Roman" w:cs="Times New Roman"/>
          <w:sz w:val="24"/>
        </w:rPr>
      </w:pPr>
      <w:r w:rsidRPr="0011171C">
        <w:rPr>
          <w:rFonts w:ascii="Times New Roman" w:hAnsi="Times New Roman" w:cs="Times New Roman"/>
          <w:sz w:val="24"/>
        </w:rPr>
        <w:t xml:space="preserve">The information below meets the NFR requirement to publish a list of high poverty schools in LEAs that are not </w:t>
      </w:r>
      <w:proofErr w:type="gramStart"/>
      <w:r w:rsidR="001C2E68">
        <w:rPr>
          <w:rFonts w:ascii="Times New Roman" w:hAnsi="Times New Roman" w:cs="Times New Roman"/>
          <w:sz w:val="24"/>
        </w:rPr>
        <w:t>excepted</w:t>
      </w:r>
      <w:proofErr w:type="gramEnd"/>
      <w:r w:rsidR="001C2E68">
        <w:rPr>
          <w:rFonts w:ascii="Times New Roman" w:hAnsi="Times New Roman" w:cs="Times New Roman"/>
          <w:sz w:val="24"/>
        </w:rPr>
        <w:t xml:space="preserve"> from the ARP Act Maintenance of </w:t>
      </w:r>
      <w:r w:rsidRPr="0011171C">
        <w:rPr>
          <w:rFonts w:ascii="Times New Roman" w:hAnsi="Times New Roman" w:cs="Times New Roman"/>
          <w:sz w:val="24"/>
        </w:rPr>
        <w:t>Equity requirement for school year 2021-2022/fiscal year 2022.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  <w:tblCaption w:val="List of  High Poverty School in Nonexcepted LEAs"/>
        <w:tblDescription w:val="This table provides a list of high poverty schools identified in nonexcepted LEAs for the 2021-2022 school year."/>
      </w:tblPr>
      <w:tblGrid>
        <w:gridCol w:w="1170"/>
        <w:gridCol w:w="810"/>
        <w:gridCol w:w="2430"/>
        <w:gridCol w:w="1710"/>
        <w:gridCol w:w="4050"/>
      </w:tblGrid>
      <w:tr w:rsidR="00B71575" w:rsidTr="00B71575">
        <w:trPr>
          <w:tblHeader/>
        </w:trPr>
        <w:tc>
          <w:tcPr>
            <w:tcW w:w="117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 NCES ID</w:t>
            </w:r>
          </w:p>
        </w:tc>
        <w:tc>
          <w:tcPr>
            <w:tcW w:w="81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 Num</w:t>
            </w:r>
          </w:p>
        </w:tc>
        <w:tc>
          <w:tcPr>
            <w:tcW w:w="243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LEA/School Division Name</w:t>
            </w:r>
          </w:p>
        </w:tc>
        <w:tc>
          <w:tcPr>
            <w:tcW w:w="171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High Poverty School NCES ID</w:t>
            </w:r>
          </w:p>
        </w:tc>
        <w:tc>
          <w:tcPr>
            <w:tcW w:w="405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High Poverty School Name</w:t>
            </w:r>
          </w:p>
        </w:tc>
      </w:tr>
      <w:tr w:rsidR="00B71575" w:rsidTr="00B71575">
        <w:tc>
          <w:tcPr>
            <w:tcW w:w="117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5100510</w:t>
            </w:r>
          </w:p>
        </w:tc>
        <w:tc>
          <w:tcPr>
            <w:tcW w:w="81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43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BUCHANAN</w:t>
            </w:r>
          </w:p>
        </w:tc>
        <w:tc>
          <w:tcPr>
            <w:tcW w:w="171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510051001897</w:t>
            </w:r>
          </w:p>
        </w:tc>
        <w:tc>
          <w:tcPr>
            <w:tcW w:w="405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COUNCIL ELEMENTARY/MIDDLE</w:t>
            </w:r>
          </w:p>
        </w:tc>
      </w:tr>
      <w:tr w:rsidR="00B71575" w:rsidTr="00B71575">
        <w:tc>
          <w:tcPr>
            <w:tcW w:w="117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5100510</w:t>
            </w:r>
          </w:p>
        </w:tc>
        <w:tc>
          <w:tcPr>
            <w:tcW w:w="810" w:type="dxa"/>
            <w:vAlign w:val="bottom"/>
          </w:tcPr>
          <w:p w:rsidR="00B71575" w:rsidRPr="00B71575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43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BUCHANAN</w:t>
            </w:r>
          </w:p>
        </w:tc>
        <w:tc>
          <w:tcPr>
            <w:tcW w:w="171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510051001946</w:t>
            </w:r>
          </w:p>
        </w:tc>
        <w:tc>
          <w:tcPr>
            <w:tcW w:w="4050" w:type="dxa"/>
            <w:vAlign w:val="bottom"/>
          </w:tcPr>
          <w:p w:rsidR="00B71575" w:rsidRPr="00B71575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TWIN VALLEY ELEMENTARY/MIDDLE</w:t>
            </w:r>
          </w:p>
        </w:tc>
      </w:tr>
    </w:tbl>
    <w:p w:rsidR="00B71575" w:rsidRDefault="00B71575" w:rsidP="0011171C">
      <w:pPr>
        <w:rPr>
          <w:rFonts w:ascii="Times New Roman" w:hAnsi="Times New Roman" w:cs="Times New Roman"/>
          <w:sz w:val="24"/>
        </w:rPr>
      </w:pPr>
    </w:p>
    <w:p w:rsidR="00B71575" w:rsidRPr="00F456D5" w:rsidRDefault="00B71575" w:rsidP="00F456D5">
      <w:pPr>
        <w:jc w:val="center"/>
      </w:pPr>
      <w:r>
        <w:br w:type="page"/>
      </w:r>
      <w:r w:rsidR="00714578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SEA</w:t>
      </w:r>
      <w:r w:rsidRPr="00B7157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Process </w:t>
      </w:r>
      <w:r w:rsidR="00714578">
        <w:rPr>
          <w:rFonts w:ascii="Times New Roman" w:hAnsi="Times New Roman" w:cs="Times New Roman"/>
          <w:b/>
          <w:color w:val="C00000"/>
          <w:sz w:val="24"/>
          <w:szCs w:val="24"/>
        </w:rPr>
        <w:t>to Ensure</w:t>
      </w:r>
      <w:r w:rsidRPr="00B7157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Compliance</w:t>
      </w:r>
    </w:p>
    <w:p w:rsidR="00B71575" w:rsidRDefault="00B71575" w:rsidP="00B71575"/>
    <w:p w:rsidR="00B71575" w:rsidRDefault="00B71575" w:rsidP="00B71575">
      <w:r w:rsidRPr="00B71575">
        <w:rPr>
          <w:rFonts w:ascii="Times New Roman" w:hAnsi="Times New Roman" w:cs="Times New Roman"/>
          <w:sz w:val="24"/>
        </w:rPr>
        <w:t xml:space="preserve">The information below meets the NFR requirement to describe the </w:t>
      </w:r>
      <w:r w:rsidR="00714578">
        <w:rPr>
          <w:rFonts w:ascii="Times New Roman" w:hAnsi="Times New Roman" w:cs="Times New Roman"/>
          <w:sz w:val="24"/>
        </w:rPr>
        <w:t>State Education Agency’s (</w:t>
      </w:r>
      <w:r w:rsidRPr="00B71575">
        <w:rPr>
          <w:rFonts w:ascii="Times New Roman" w:hAnsi="Times New Roman" w:cs="Times New Roman"/>
          <w:sz w:val="24"/>
        </w:rPr>
        <w:t>SEA's</w:t>
      </w:r>
      <w:r w:rsidR="00714578">
        <w:rPr>
          <w:rFonts w:ascii="Times New Roman" w:hAnsi="Times New Roman" w:cs="Times New Roman"/>
          <w:sz w:val="24"/>
        </w:rPr>
        <w:t>)</w:t>
      </w:r>
      <w:r w:rsidRPr="00B71575">
        <w:rPr>
          <w:rFonts w:ascii="Times New Roman" w:hAnsi="Times New Roman" w:cs="Times New Roman"/>
          <w:sz w:val="24"/>
        </w:rPr>
        <w:t xml:space="preserve"> process to ensure that LEAs that are not excepted from Maintenance of Equity for school year 2021-2022/fiscal year 2022 meet the fiscal and staffing requirements</w:t>
      </w:r>
      <w:r w:rsidRPr="00B71575">
        <w:t>.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  <w:tblCaption w:val="State Process to Ensure Compliance"/>
        <w:tblDescription w:val="This table provides the state education agency's process to ensure LEA compliance with the Maintenance of Equity requirements for school year 2021-2022."/>
      </w:tblPr>
      <w:tblGrid>
        <w:gridCol w:w="1620"/>
        <w:gridCol w:w="8460"/>
      </w:tblGrid>
      <w:tr w:rsidR="00B71575" w:rsidTr="00714578">
        <w:trPr>
          <w:tblHeader/>
        </w:trPr>
        <w:tc>
          <w:tcPr>
            <w:tcW w:w="1620" w:type="dxa"/>
            <w:vAlign w:val="bottom"/>
          </w:tcPr>
          <w:p w:rsidR="00B71575" w:rsidRPr="00714578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4578">
              <w:rPr>
                <w:rFonts w:ascii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8460" w:type="dxa"/>
            <w:vAlign w:val="bottom"/>
          </w:tcPr>
          <w:p w:rsidR="00B71575" w:rsidRPr="00714578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4578">
              <w:rPr>
                <w:rFonts w:ascii="Times New Roman" w:hAnsi="Times New Roman" w:cs="Times New Roman"/>
                <w:b/>
                <w:bCs/>
                <w:color w:val="000000"/>
              </w:rPr>
              <w:t>Activity</w:t>
            </w:r>
            <w:bookmarkStart w:id="0" w:name="_GoBack"/>
            <w:bookmarkEnd w:id="0"/>
          </w:p>
        </w:tc>
      </w:tr>
      <w:tr w:rsidR="00B71575" w:rsidTr="00714578">
        <w:tc>
          <w:tcPr>
            <w:tcW w:w="1620" w:type="dxa"/>
            <w:vAlign w:val="bottom"/>
          </w:tcPr>
          <w:p w:rsidR="00B71575" w:rsidRPr="00714578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October 2021</w:t>
            </w:r>
          </w:p>
        </w:tc>
        <w:tc>
          <w:tcPr>
            <w:tcW w:w="8460" w:type="dxa"/>
            <w:vAlign w:val="bottom"/>
          </w:tcPr>
          <w:p w:rsidR="00B71575" w:rsidRPr="00714578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LEA exception certifications due to SEA</w:t>
            </w:r>
          </w:p>
        </w:tc>
      </w:tr>
      <w:tr w:rsidR="00B71575" w:rsidTr="00714578">
        <w:tc>
          <w:tcPr>
            <w:tcW w:w="1620" w:type="dxa"/>
            <w:vAlign w:val="bottom"/>
          </w:tcPr>
          <w:p w:rsidR="00B71575" w:rsidRPr="00714578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March 2022</w:t>
            </w:r>
          </w:p>
        </w:tc>
        <w:tc>
          <w:tcPr>
            <w:tcW w:w="8460" w:type="dxa"/>
            <w:vAlign w:val="bottom"/>
          </w:tcPr>
          <w:p w:rsidR="00B71575" w:rsidRPr="00714578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Nonexcepted LEAs provide school year 2021-2022/fiscal year 2022 fiscal and staffing data</w:t>
            </w:r>
          </w:p>
        </w:tc>
      </w:tr>
      <w:tr w:rsidR="00B71575" w:rsidTr="00714578">
        <w:tc>
          <w:tcPr>
            <w:tcW w:w="1620" w:type="dxa"/>
            <w:vAlign w:val="bottom"/>
          </w:tcPr>
          <w:p w:rsidR="00B71575" w:rsidRPr="00714578" w:rsidRDefault="00B71575" w:rsidP="007145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April 2022</w:t>
            </w:r>
          </w:p>
        </w:tc>
        <w:tc>
          <w:tcPr>
            <w:tcW w:w="8460" w:type="dxa"/>
            <w:vAlign w:val="bottom"/>
          </w:tcPr>
          <w:p w:rsidR="00B71575" w:rsidRPr="00714578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SEA determines whether fiscal and staffing equity were met</w:t>
            </w:r>
          </w:p>
        </w:tc>
      </w:tr>
      <w:tr w:rsidR="00B71575" w:rsidTr="00714578">
        <w:tc>
          <w:tcPr>
            <w:tcW w:w="1620" w:type="dxa"/>
            <w:vAlign w:val="bottom"/>
          </w:tcPr>
          <w:p w:rsidR="00B71575" w:rsidRPr="00714578" w:rsidRDefault="00B71575" w:rsidP="00324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>May</w:t>
            </w:r>
            <w:r w:rsidR="003243D2">
              <w:rPr>
                <w:rFonts w:ascii="Times New Roman" w:hAnsi="Times New Roman" w:cs="Times New Roman"/>
                <w:color w:val="000000"/>
              </w:rPr>
              <w:t xml:space="preserve">-June </w:t>
            </w:r>
            <w:r w:rsidRPr="00714578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460" w:type="dxa"/>
            <w:vAlign w:val="bottom"/>
          </w:tcPr>
          <w:p w:rsidR="00B71575" w:rsidRPr="00714578" w:rsidRDefault="00B71575" w:rsidP="0071457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714578">
              <w:rPr>
                <w:rFonts w:ascii="Times New Roman" w:hAnsi="Times New Roman" w:cs="Times New Roman"/>
                <w:color w:val="000000"/>
              </w:rPr>
              <w:t xml:space="preserve">If Maintenance of Equity is not met, SEA works with LEA to make appropriate adjustments to address areas of deficiency in the current or subsequent year </w:t>
            </w:r>
          </w:p>
        </w:tc>
      </w:tr>
    </w:tbl>
    <w:p w:rsidR="00B71575" w:rsidRDefault="00B71575" w:rsidP="00B71575"/>
    <w:p w:rsidR="001C2E68" w:rsidRDefault="001C2E68" w:rsidP="001C2E68">
      <w:pPr>
        <w:pStyle w:val="Heading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C2E68">
        <w:rPr>
          <w:rFonts w:ascii="Times New Roman" w:hAnsi="Times New Roman" w:cs="Times New Roman"/>
          <w:b/>
          <w:color w:val="C00000"/>
          <w:sz w:val="24"/>
          <w:szCs w:val="24"/>
        </w:rPr>
        <w:t>Sch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ool-</w:t>
      </w:r>
      <w:r w:rsidRPr="001C2E6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Level Data for </w:t>
      </w:r>
      <w:proofErr w:type="spellStart"/>
      <w:r w:rsidRPr="001C2E68">
        <w:rPr>
          <w:rFonts w:ascii="Times New Roman" w:hAnsi="Times New Roman" w:cs="Times New Roman"/>
          <w:b/>
          <w:color w:val="C00000"/>
          <w:sz w:val="24"/>
          <w:szCs w:val="24"/>
        </w:rPr>
        <w:t>Nonexcepted</w:t>
      </w:r>
      <w:proofErr w:type="spellEnd"/>
      <w:r w:rsidRPr="001C2E6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LEAs</w:t>
      </w:r>
    </w:p>
    <w:p w:rsidR="001C2E68" w:rsidRPr="001C2E68" w:rsidRDefault="001C2E68" w:rsidP="001C2E68"/>
    <w:p w:rsidR="001C2E68" w:rsidRDefault="001C2E68" w:rsidP="001C2E68">
      <w:pPr>
        <w:rPr>
          <w:rFonts w:ascii="Times New Roman" w:hAnsi="Times New Roman" w:cs="Times New Roman"/>
          <w:sz w:val="24"/>
        </w:rPr>
      </w:pPr>
      <w:r w:rsidRPr="00B71575">
        <w:rPr>
          <w:rFonts w:ascii="Times New Roman" w:hAnsi="Times New Roman" w:cs="Times New Roman"/>
          <w:sz w:val="24"/>
        </w:rPr>
        <w:t xml:space="preserve">The information below meets the NFR requirement to </w:t>
      </w:r>
      <w:r>
        <w:rPr>
          <w:rFonts w:ascii="Times New Roman" w:hAnsi="Times New Roman" w:cs="Times New Roman"/>
          <w:sz w:val="24"/>
        </w:rPr>
        <w:t>publish school</w:t>
      </w:r>
      <w:r w:rsidRPr="001C2E68">
        <w:rPr>
          <w:rFonts w:ascii="Times New Roman" w:hAnsi="Times New Roman" w:cs="Times New Roman"/>
          <w:sz w:val="24"/>
        </w:rPr>
        <w:t xml:space="preserve">-level data for LEAs that are not </w:t>
      </w:r>
      <w:proofErr w:type="gramStart"/>
      <w:r w:rsidRPr="001C2E68">
        <w:rPr>
          <w:rFonts w:ascii="Times New Roman" w:hAnsi="Times New Roman" w:cs="Times New Roman"/>
          <w:sz w:val="24"/>
        </w:rPr>
        <w:t>ex</w:t>
      </w:r>
      <w:r>
        <w:rPr>
          <w:rFonts w:ascii="Times New Roman" w:hAnsi="Times New Roman" w:cs="Times New Roman"/>
          <w:sz w:val="24"/>
        </w:rPr>
        <w:t>cepted</w:t>
      </w:r>
      <w:proofErr w:type="gramEnd"/>
      <w:r>
        <w:rPr>
          <w:rFonts w:ascii="Times New Roman" w:hAnsi="Times New Roman" w:cs="Times New Roman"/>
          <w:sz w:val="24"/>
        </w:rPr>
        <w:t xml:space="preserve"> from the ARP Act Maintenance of Equity</w:t>
      </w:r>
      <w:r w:rsidRPr="001C2E68">
        <w:rPr>
          <w:rFonts w:ascii="Times New Roman" w:hAnsi="Times New Roman" w:cs="Times New Roman"/>
          <w:sz w:val="24"/>
        </w:rPr>
        <w:t xml:space="preserve"> requirement for school year 2021-2022/fiscal year 2022. Note: The FTE </w:t>
      </w:r>
      <w:r w:rsidR="00352BFA">
        <w:rPr>
          <w:rFonts w:ascii="Times New Roman" w:hAnsi="Times New Roman" w:cs="Times New Roman"/>
          <w:sz w:val="24"/>
        </w:rPr>
        <w:t xml:space="preserve">staff </w:t>
      </w:r>
      <w:r w:rsidRPr="001C2E68">
        <w:rPr>
          <w:rFonts w:ascii="Times New Roman" w:hAnsi="Times New Roman" w:cs="Times New Roman"/>
          <w:sz w:val="24"/>
        </w:rPr>
        <w:t xml:space="preserve">ratio is </w:t>
      </w:r>
      <w:r w:rsidR="00352BFA">
        <w:rPr>
          <w:rFonts w:ascii="Times New Roman" w:hAnsi="Times New Roman" w:cs="Times New Roman"/>
          <w:sz w:val="24"/>
        </w:rPr>
        <w:t>reported</w:t>
      </w:r>
      <w:r w:rsidRPr="001C2E68">
        <w:rPr>
          <w:rFonts w:ascii="Times New Roman" w:hAnsi="Times New Roman" w:cs="Times New Roman"/>
          <w:sz w:val="24"/>
        </w:rPr>
        <w:t xml:space="preserve"> as staff members per student.</w:t>
      </w:r>
    </w:p>
    <w:p w:rsidR="009975FA" w:rsidRDefault="009975FA" w:rsidP="001C2E68">
      <w:pPr>
        <w:rPr>
          <w:rFonts w:ascii="Times New Roman" w:hAnsi="Times New Roman" w:cs="Times New Roman"/>
          <w:sz w:val="24"/>
          <w:u w:val="single"/>
        </w:rPr>
      </w:pPr>
      <w:r w:rsidRPr="009975FA">
        <w:rPr>
          <w:rFonts w:ascii="Times New Roman" w:hAnsi="Times New Roman" w:cs="Times New Roman"/>
          <w:sz w:val="24"/>
          <w:u w:val="single"/>
        </w:rPr>
        <w:t>LEA</w:t>
      </w:r>
      <w:r>
        <w:rPr>
          <w:rFonts w:ascii="Times New Roman" w:hAnsi="Times New Roman" w:cs="Times New Roman"/>
          <w:sz w:val="24"/>
          <w:u w:val="single"/>
        </w:rPr>
        <w:t>-Level</w:t>
      </w:r>
      <w:r w:rsidRPr="009975FA">
        <w:rPr>
          <w:rFonts w:ascii="Times New Roman" w:hAnsi="Times New Roman" w:cs="Times New Roman"/>
          <w:sz w:val="24"/>
          <w:u w:val="single"/>
        </w:rPr>
        <w:t xml:space="preserve"> Data</w:t>
      </w:r>
      <w:r w:rsidR="00F41FE9">
        <w:rPr>
          <w:rFonts w:ascii="Times New Roman" w:hAnsi="Times New Roman" w:cs="Times New Roman"/>
          <w:sz w:val="24"/>
          <w:u w:val="single"/>
        </w:rPr>
        <w:t xml:space="preserve"> – Buchanan County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402"/>
        <w:gridCol w:w="1043"/>
        <w:gridCol w:w="1463"/>
        <w:gridCol w:w="1132"/>
        <w:gridCol w:w="1124"/>
        <w:gridCol w:w="1094"/>
        <w:gridCol w:w="1164"/>
        <w:gridCol w:w="1132"/>
        <w:gridCol w:w="1246"/>
      </w:tblGrid>
      <w:tr w:rsidR="00F41FE9" w:rsidTr="00527B4C">
        <w:tc>
          <w:tcPr>
            <w:tcW w:w="1402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NCES ID</w:t>
            </w:r>
          </w:p>
        </w:tc>
        <w:tc>
          <w:tcPr>
            <w:tcW w:w="104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Div</w:t>
            </w:r>
            <w:proofErr w:type="spellEnd"/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Num</w:t>
            </w:r>
            <w:proofErr w:type="spellEnd"/>
          </w:p>
        </w:tc>
        <w:tc>
          <w:tcPr>
            <w:tcW w:w="146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LEA/School Division Name</w:t>
            </w:r>
          </w:p>
        </w:tc>
        <w:tc>
          <w:tcPr>
            <w:tcW w:w="1132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Per-Pupil Funding Fiscal Year 2021</w:t>
            </w:r>
          </w:p>
        </w:tc>
        <w:tc>
          <w:tcPr>
            <w:tcW w:w="112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Per-Pupil Funding Fiscal Year 2022</w:t>
            </w:r>
          </w:p>
        </w:tc>
        <w:tc>
          <w:tcPr>
            <w:tcW w:w="109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Per-Pupil Reduction</w:t>
            </w:r>
          </w:p>
        </w:tc>
        <w:tc>
          <w:tcPr>
            <w:tcW w:w="116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FTE Staff Ratio Fiscal Year 2021</w:t>
            </w:r>
          </w:p>
        </w:tc>
        <w:tc>
          <w:tcPr>
            <w:tcW w:w="1132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FTE Staff Ratio Fiscal Year 2022</w:t>
            </w:r>
          </w:p>
        </w:tc>
        <w:tc>
          <w:tcPr>
            <w:tcW w:w="124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LEA FTE Staff Reduction</w:t>
            </w:r>
          </w:p>
        </w:tc>
      </w:tr>
      <w:tr w:rsidR="00F41FE9" w:rsidTr="00527B4C">
        <w:tc>
          <w:tcPr>
            <w:tcW w:w="1402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5100510</w:t>
            </w:r>
          </w:p>
        </w:tc>
        <w:tc>
          <w:tcPr>
            <w:tcW w:w="104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014</w:t>
            </w:r>
          </w:p>
        </w:tc>
        <w:tc>
          <w:tcPr>
            <w:tcW w:w="1463" w:type="dxa"/>
            <w:vAlign w:val="bottom"/>
          </w:tcPr>
          <w:p w:rsidR="00F41FE9" w:rsidRPr="00F41FE9" w:rsidRDefault="00F41FE9" w:rsidP="00F41FE9">
            <w:pPr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BUCHANAN</w:t>
            </w:r>
          </w:p>
        </w:tc>
        <w:tc>
          <w:tcPr>
            <w:tcW w:w="1132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$7,146 </w:t>
            </w:r>
          </w:p>
        </w:tc>
        <w:tc>
          <w:tcPr>
            <w:tcW w:w="1124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$6,940 </w:t>
            </w:r>
          </w:p>
        </w:tc>
        <w:tc>
          <w:tcPr>
            <w:tcW w:w="1094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FF0000"/>
              </w:rPr>
              <w:t>($206)</w:t>
            </w:r>
          </w:p>
        </w:tc>
        <w:tc>
          <w:tcPr>
            <w:tcW w:w="116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1132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24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</w:tr>
    </w:tbl>
    <w:p w:rsidR="009975FA" w:rsidRDefault="009975FA" w:rsidP="001C2E68">
      <w:pPr>
        <w:rPr>
          <w:rFonts w:ascii="Times New Roman" w:hAnsi="Times New Roman" w:cs="Times New Roman"/>
          <w:sz w:val="24"/>
          <w:u w:val="single"/>
        </w:rPr>
      </w:pPr>
    </w:p>
    <w:p w:rsidR="00F41FE9" w:rsidRDefault="00F41FE9" w:rsidP="001C2E68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School-Level Data – Buchanan County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536"/>
        <w:gridCol w:w="2624"/>
        <w:gridCol w:w="939"/>
        <w:gridCol w:w="939"/>
        <w:gridCol w:w="1094"/>
        <w:gridCol w:w="783"/>
        <w:gridCol w:w="807"/>
        <w:gridCol w:w="1094"/>
        <w:gridCol w:w="894"/>
      </w:tblGrid>
      <w:tr w:rsidR="00F41FE9" w:rsidTr="00527B4C">
        <w:tc>
          <w:tcPr>
            <w:tcW w:w="153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High Poverty School NCES ID</w:t>
            </w:r>
          </w:p>
        </w:tc>
        <w:tc>
          <w:tcPr>
            <w:tcW w:w="262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High Poverty School Name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School Per-Pupil Funding Fiscal Year 2021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School Per Pupil Funding Fiscal Year 2022</w:t>
            </w:r>
          </w:p>
        </w:tc>
        <w:tc>
          <w:tcPr>
            <w:tcW w:w="109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School Per-Pupil Reduction </w:t>
            </w:r>
          </w:p>
        </w:tc>
        <w:tc>
          <w:tcPr>
            <w:tcW w:w="78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School FTE Staff Ratio Fiscal Year 2021</w:t>
            </w:r>
          </w:p>
        </w:tc>
        <w:tc>
          <w:tcPr>
            <w:tcW w:w="1085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School FTE Staff Ratio Fiscal Year 2022</w:t>
            </w:r>
          </w:p>
        </w:tc>
        <w:tc>
          <w:tcPr>
            <w:tcW w:w="81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School FTE Staff Reduction</w:t>
            </w:r>
          </w:p>
        </w:tc>
        <w:tc>
          <w:tcPr>
            <w:tcW w:w="89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41FE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Fiscal and Staffing Equity Met?</w:t>
            </w:r>
          </w:p>
        </w:tc>
      </w:tr>
      <w:tr w:rsidR="00F41FE9" w:rsidTr="00527B4C">
        <w:tc>
          <w:tcPr>
            <w:tcW w:w="1536" w:type="dxa"/>
            <w:vAlign w:val="bottom"/>
          </w:tcPr>
          <w:p w:rsidR="00F41FE9" w:rsidRPr="00F41FE9" w:rsidRDefault="00F41FE9" w:rsidP="00F41FE9">
            <w:pPr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510051001897</w:t>
            </w:r>
          </w:p>
        </w:tc>
        <w:tc>
          <w:tcPr>
            <w:tcW w:w="2624" w:type="dxa"/>
            <w:vAlign w:val="bottom"/>
          </w:tcPr>
          <w:p w:rsidR="00F41FE9" w:rsidRPr="00F41FE9" w:rsidRDefault="00F41FE9" w:rsidP="00F41FE9">
            <w:pPr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COUNCIL ELEMENTARY/MIDDLE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$7,644 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$7,733 </w:t>
            </w:r>
          </w:p>
        </w:tc>
        <w:tc>
          <w:tcPr>
            <w:tcW w:w="1094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$89 </w:t>
            </w:r>
          </w:p>
        </w:tc>
        <w:tc>
          <w:tcPr>
            <w:tcW w:w="78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1085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  <w:tc>
          <w:tcPr>
            <w:tcW w:w="81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89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F41FE9" w:rsidTr="00527B4C">
        <w:tc>
          <w:tcPr>
            <w:tcW w:w="1536" w:type="dxa"/>
            <w:vAlign w:val="bottom"/>
          </w:tcPr>
          <w:p w:rsidR="00F41FE9" w:rsidRPr="00F41FE9" w:rsidRDefault="00F41FE9" w:rsidP="00F41FE9">
            <w:pPr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510051001946</w:t>
            </w:r>
          </w:p>
        </w:tc>
        <w:tc>
          <w:tcPr>
            <w:tcW w:w="2624" w:type="dxa"/>
            <w:vAlign w:val="bottom"/>
          </w:tcPr>
          <w:p w:rsidR="00F41FE9" w:rsidRPr="00F41FE9" w:rsidRDefault="00F41FE9" w:rsidP="00F41FE9">
            <w:pPr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TWIN VALLEY ELEMENTARY/MIDDLE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$6,543 </w:t>
            </w:r>
          </w:p>
        </w:tc>
        <w:tc>
          <w:tcPr>
            <w:tcW w:w="939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 xml:space="preserve">$6,337 </w:t>
            </w:r>
          </w:p>
        </w:tc>
        <w:tc>
          <w:tcPr>
            <w:tcW w:w="1094" w:type="dxa"/>
            <w:vAlign w:val="bottom"/>
          </w:tcPr>
          <w:p w:rsidR="00F41FE9" w:rsidRPr="00F41FE9" w:rsidRDefault="00F41FE9" w:rsidP="00F41F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FF0000"/>
              </w:rPr>
              <w:t>($206)</w:t>
            </w:r>
          </w:p>
        </w:tc>
        <w:tc>
          <w:tcPr>
            <w:tcW w:w="783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085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816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894" w:type="dxa"/>
            <w:vAlign w:val="bottom"/>
          </w:tcPr>
          <w:p w:rsidR="00F41FE9" w:rsidRPr="00F41FE9" w:rsidRDefault="00F41FE9" w:rsidP="00F41F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FE9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</w:tbl>
    <w:p w:rsidR="00F41FE9" w:rsidRPr="009975FA" w:rsidRDefault="00F41FE9" w:rsidP="001C2E68">
      <w:pPr>
        <w:rPr>
          <w:rFonts w:ascii="Times New Roman" w:hAnsi="Times New Roman" w:cs="Times New Roman"/>
          <w:sz w:val="24"/>
          <w:u w:val="single"/>
        </w:rPr>
      </w:pPr>
    </w:p>
    <w:p w:rsidR="001C2E68" w:rsidRDefault="001C2E68" w:rsidP="001C2E68">
      <w:pPr>
        <w:rPr>
          <w:rFonts w:ascii="Times New Roman" w:hAnsi="Times New Roman" w:cs="Times New Roman"/>
          <w:sz w:val="24"/>
        </w:rPr>
      </w:pPr>
    </w:p>
    <w:p w:rsidR="001C2E68" w:rsidRDefault="001C2E68" w:rsidP="00BF06DB"/>
    <w:sectPr w:rsidR="001C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56A68"/>
    <w:multiLevelType w:val="hybridMultilevel"/>
    <w:tmpl w:val="C2CCA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1D"/>
    <w:rsid w:val="000323DD"/>
    <w:rsid w:val="0011171C"/>
    <w:rsid w:val="001C2E68"/>
    <w:rsid w:val="003243D2"/>
    <w:rsid w:val="00352BFA"/>
    <w:rsid w:val="0037751D"/>
    <w:rsid w:val="00527B4C"/>
    <w:rsid w:val="006828E9"/>
    <w:rsid w:val="00714578"/>
    <w:rsid w:val="00810E36"/>
    <w:rsid w:val="00837A94"/>
    <w:rsid w:val="00964EFF"/>
    <w:rsid w:val="009975FA"/>
    <w:rsid w:val="009A452B"/>
    <w:rsid w:val="00A44FA1"/>
    <w:rsid w:val="00B71575"/>
    <w:rsid w:val="00BF06DB"/>
    <w:rsid w:val="00E74DCF"/>
    <w:rsid w:val="00F41FE9"/>
    <w:rsid w:val="00F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FCEA"/>
  <w15:chartTrackingRefBased/>
  <w15:docId w15:val="{CB3ABDAE-39CB-4947-96CF-2BE1B2CC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75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7751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7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751D"/>
    <w:pPr>
      <w:ind w:left="720"/>
      <w:contextualSpacing/>
    </w:pPr>
  </w:style>
  <w:style w:type="table" w:styleId="TableGrid">
    <w:name w:val="Table Grid"/>
    <w:basedOn w:val="TableNormal"/>
    <w:uiPriority w:val="39"/>
    <w:rsid w:val="0081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deralregister.gov/documents/2022/06/08/2022-12296/final-requirements-american-rescue-plan-act-elementary-and-secondary-school-emergency-relief-fund" TargetMode="External"/><Relationship Id="rId5" Type="http://schemas.openxmlformats.org/officeDocument/2006/relationships/hyperlink" Target="https://www.congress.gov/bill/117th-congress/house-bill/1319/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2022-07-25T14:08:00Z</dcterms:created>
  <dcterms:modified xsi:type="dcterms:W3CDTF">2022-07-25T14:08:00Z</dcterms:modified>
</cp:coreProperties>
</file>