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BC0" w:rsidRDefault="006B7D3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Important Dates Associated with 2023 Governor’s Summer Residential Programs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5755"/>
      </w:tblGrid>
      <w:tr w:rsidR="007E2BC0">
        <w:trPr>
          <w:trHeight w:val="710"/>
          <w:tblHeader/>
        </w:trPr>
        <w:tc>
          <w:tcPr>
            <w:tcW w:w="3595" w:type="dxa"/>
            <w:shd w:val="clear" w:color="auto" w:fill="FFFFCC"/>
            <w:vAlign w:val="center"/>
          </w:tcPr>
          <w:p w:rsidR="007E2BC0" w:rsidRDefault="006B7D37">
            <w:pPr>
              <w:pStyle w:val="Heading1"/>
              <w:spacing w:before="120" w:after="120"/>
              <w:outlineLvl w:val="0"/>
            </w:pPr>
            <w:r>
              <w:t>Governor’s World Language Academies (GWLA)</w:t>
            </w:r>
          </w:p>
        </w:tc>
        <w:tc>
          <w:tcPr>
            <w:tcW w:w="5755" w:type="dxa"/>
            <w:vAlign w:val="center"/>
          </w:tcPr>
          <w:p w:rsidR="007E2BC0" w:rsidRDefault="006B7D37">
            <w:pPr>
              <w:pStyle w:val="Heading1"/>
              <w:spacing w:before="120" w:after="120"/>
              <w:outlineLvl w:val="0"/>
            </w:pPr>
            <w:r>
              <w:t>2022-2023 Important Dates</w:t>
            </w:r>
          </w:p>
        </w:tc>
      </w:tr>
      <w:tr w:rsidR="007E2BC0">
        <w:trPr>
          <w:trHeight w:val="413"/>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October 2022</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The Virginia Department of Education’s (VDOE) webpage displays all applications and guides.</w:t>
            </w:r>
          </w:p>
        </w:tc>
      </w:tr>
      <w:tr w:rsidR="007E2BC0">
        <w:trPr>
          <w:trHeight w:val="242"/>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October 2022</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Selection of students for the programs begins at the local level.</w:t>
            </w:r>
          </w:p>
        </w:tc>
      </w:tr>
      <w:tr w:rsidR="007E2BC0">
        <w:trPr>
          <w:trHeight w:val="440"/>
        </w:trPr>
        <w:tc>
          <w:tcPr>
            <w:tcW w:w="3595" w:type="dxa"/>
            <w:shd w:val="clear" w:color="auto" w:fill="FFFFCC"/>
            <w:vAlign w:val="center"/>
          </w:tcPr>
          <w:p w:rsidR="007E2BC0" w:rsidRDefault="006B7D37">
            <w:pPr>
              <w:pBdr>
                <w:top w:val="nil"/>
                <w:left w:val="nil"/>
                <w:bottom w:val="nil"/>
                <w:right w:val="nil"/>
                <w:between w:val="nil"/>
              </w:pBdr>
              <w:tabs>
                <w:tab w:val="center" w:pos="4320"/>
                <w:tab w:val="right" w:pos="8640"/>
              </w:tabs>
              <w:spacing w:before="120" w:after="120"/>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January 16,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Deadline for students to begin an application in the online Survey Monkey Apply application system.</w:t>
            </w:r>
          </w:p>
        </w:tc>
      </w:tr>
      <w:tr w:rsidR="007E2BC0">
        <w:trPr>
          <w:trHeight w:val="440"/>
        </w:trPr>
        <w:tc>
          <w:tcPr>
            <w:tcW w:w="3595" w:type="dxa"/>
            <w:shd w:val="clear" w:color="auto" w:fill="FFFFCC"/>
            <w:vAlign w:val="center"/>
          </w:tcPr>
          <w:p w:rsidR="007E2BC0" w:rsidRDefault="006B7D37">
            <w:pPr>
              <w:pBdr>
                <w:top w:val="nil"/>
                <w:left w:val="nil"/>
                <w:bottom w:val="nil"/>
                <w:right w:val="nil"/>
                <w:between w:val="nil"/>
              </w:pBdr>
              <w:tabs>
                <w:tab w:val="center" w:pos="4320"/>
                <w:tab w:val="right" w:pos="8640"/>
              </w:tabs>
              <w:spacing w:before="120" w:after="120"/>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January 25,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Deadline for schools to complete the local selection process.</w:t>
            </w:r>
          </w:p>
        </w:tc>
      </w:tr>
      <w:tr w:rsidR="007E2BC0">
        <w:trPr>
          <w:trHeight w:val="440"/>
        </w:trPr>
        <w:tc>
          <w:tcPr>
            <w:tcW w:w="3595" w:type="dxa"/>
            <w:shd w:val="clear" w:color="auto" w:fill="FFFFCC"/>
            <w:vAlign w:val="center"/>
          </w:tcPr>
          <w:p w:rsidR="007E2BC0" w:rsidRDefault="006B7D37">
            <w:pPr>
              <w:pBdr>
                <w:top w:val="nil"/>
                <w:left w:val="nil"/>
                <w:bottom w:val="nil"/>
                <w:right w:val="nil"/>
                <w:between w:val="nil"/>
              </w:pBdr>
              <w:tabs>
                <w:tab w:val="center" w:pos="4320"/>
                <w:tab w:val="right" w:pos="8640"/>
              </w:tabs>
              <w:spacing w:before="120" w:after="120"/>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January </w:t>
            </w:r>
            <w:r>
              <w:rPr>
                <w:rFonts w:ascii="Times New Roman" w:eastAsia="Times New Roman" w:hAnsi="Times New Roman" w:cs="Times New Roman"/>
                <w:sz w:val="21"/>
                <w:szCs w:val="21"/>
              </w:rPr>
              <w:t>25,</w:t>
            </w:r>
            <w:r>
              <w:rPr>
                <w:rFonts w:ascii="Times New Roman" w:eastAsia="Times New Roman" w:hAnsi="Times New Roman" w:cs="Times New Roman"/>
                <w:color w:val="000000"/>
                <w:sz w:val="21"/>
                <w:szCs w:val="21"/>
              </w:rPr>
              <w:t xml:space="preserve"> 202</w:t>
            </w:r>
            <w:r>
              <w:rPr>
                <w:rFonts w:ascii="Times New Roman" w:eastAsia="Times New Roman" w:hAnsi="Times New Roman" w:cs="Times New Roman"/>
                <w:sz w:val="21"/>
                <w:szCs w:val="21"/>
              </w:rPr>
              <w:t>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Deadline by which online testing access codes must be ordered.</w:t>
            </w:r>
          </w:p>
        </w:tc>
      </w:tr>
      <w:tr w:rsidR="007E2BC0">
        <w:trPr>
          <w:trHeight w:val="710"/>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January 25,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Public and private schools must forward names of their GWLA nominees to division designated contact persons.</w:t>
            </w:r>
          </w:p>
        </w:tc>
      </w:tr>
      <w:tr w:rsidR="007E2BC0">
        <w:trPr>
          <w:trHeight w:val="1025"/>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January 31,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Deadline for public and private schools to submit their GWLA applications and their signed verification report forms certifying funding to the VDOE. Public school divisions and private schools submit nominee data electronically through the VDOE’s Single Sign-on for Web Systems (SSWS).</w:t>
            </w:r>
          </w:p>
        </w:tc>
      </w:tr>
      <w:tr w:rsidR="007E2BC0">
        <w:trPr>
          <w:trHeight w:val="305"/>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January 31,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Deadline for selected student nominees to submit completed electronic applications to the state through the Survey Monkey Apply system.</w:t>
            </w:r>
          </w:p>
        </w:tc>
      </w:tr>
      <w:tr w:rsidR="007E2BC0">
        <w:trPr>
          <w:trHeight w:val="305"/>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January 31,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Deadline for applicants to submit online testing.</w:t>
            </w:r>
          </w:p>
        </w:tc>
      </w:tr>
      <w:tr w:rsidR="007E2BC0">
        <w:trPr>
          <w:trHeight w:val="152"/>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April 14,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All nominees receive status notification from the VDOE.</w:t>
            </w:r>
          </w:p>
        </w:tc>
      </w:tr>
      <w:tr w:rsidR="007E2BC0">
        <w:trPr>
          <w:trHeight w:val="620"/>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Mid-May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The VDOE sends initial invoices to school division superintendents and to heads of private schools for students attending the 2023 programs.</w:t>
            </w:r>
          </w:p>
        </w:tc>
      </w:tr>
      <w:tr w:rsidR="007E2BC0">
        <w:trPr>
          <w:trHeight w:val="485"/>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June 15,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Payments for private school students attending any of the World Language Academies must be received by the VDOE before the first program opens.</w:t>
            </w:r>
          </w:p>
        </w:tc>
      </w:tr>
      <w:tr w:rsidR="007E2BC0">
        <w:trPr>
          <w:trHeight w:val="350"/>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July 17,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Payments for public school students attending any of the World Language Academies must be received by the VDOE.</w:t>
            </w:r>
          </w:p>
        </w:tc>
      </w:tr>
      <w:tr w:rsidR="007E2BC0">
        <w:trPr>
          <w:trHeight w:val="278"/>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June 17 through July 8,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Governor's French, German, and Spanish Academies.</w:t>
            </w:r>
          </w:p>
        </w:tc>
      </w:tr>
      <w:tr w:rsidR="007E2BC0">
        <w:trPr>
          <w:trHeight w:val="197"/>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June 18 through July 9,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Governor’s Japanese and Latin Academies.</w:t>
            </w:r>
          </w:p>
        </w:tc>
      </w:tr>
      <w:tr w:rsidR="007E2BC0">
        <w:trPr>
          <w:trHeight w:val="575"/>
        </w:trPr>
        <w:tc>
          <w:tcPr>
            <w:tcW w:w="3595" w:type="dxa"/>
            <w:shd w:val="clear" w:color="auto" w:fill="FFFFCC"/>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June 30,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VDOE sends revised invoices if needed.</w:t>
            </w:r>
          </w:p>
        </w:tc>
      </w:tr>
    </w:tbl>
    <w:p w:rsidR="007E2BC0" w:rsidRDefault="007E2BC0"/>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5755"/>
      </w:tblGrid>
      <w:tr w:rsidR="007E2BC0">
        <w:trPr>
          <w:trHeight w:val="512"/>
          <w:tblHeader/>
        </w:trPr>
        <w:tc>
          <w:tcPr>
            <w:tcW w:w="3595" w:type="dxa"/>
            <w:shd w:val="clear" w:color="auto" w:fill="CCFF99"/>
            <w:vAlign w:val="center"/>
          </w:tcPr>
          <w:p w:rsidR="007E2BC0" w:rsidRDefault="006B7D37">
            <w:pPr>
              <w:pStyle w:val="Heading1"/>
              <w:spacing w:before="120" w:after="120"/>
              <w:outlineLvl w:val="0"/>
              <w:rPr>
                <w:sz w:val="21"/>
                <w:szCs w:val="21"/>
              </w:rPr>
            </w:pPr>
            <w:r>
              <w:rPr>
                <w:sz w:val="21"/>
                <w:szCs w:val="21"/>
              </w:rPr>
              <w:t>Summer Residential Governor’s Schools (SRGS)</w:t>
            </w:r>
          </w:p>
        </w:tc>
        <w:tc>
          <w:tcPr>
            <w:tcW w:w="5755" w:type="dxa"/>
            <w:vAlign w:val="center"/>
          </w:tcPr>
          <w:p w:rsidR="007E2BC0" w:rsidRDefault="006B7D37">
            <w:pPr>
              <w:pStyle w:val="Heading1"/>
              <w:spacing w:before="120" w:after="120"/>
              <w:outlineLvl w:val="0"/>
              <w:rPr>
                <w:sz w:val="21"/>
                <w:szCs w:val="21"/>
              </w:rPr>
            </w:pPr>
            <w:r>
              <w:rPr>
                <w:sz w:val="21"/>
                <w:szCs w:val="21"/>
              </w:rPr>
              <w:t>2022 - 2023 Important Dates</w:t>
            </w:r>
          </w:p>
        </w:tc>
      </w:tr>
      <w:tr w:rsidR="007E2BC0">
        <w:trPr>
          <w:trHeight w:val="602"/>
        </w:trPr>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October 2022</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The Virginia Department of Education’s (VDOE) webpage displays all applications and guides.</w:t>
            </w:r>
          </w:p>
        </w:tc>
      </w:tr>
      <w:tr w:rsidR="007E2BC0">
        <w:trPr>
          <w:trHeight w:val="350"/>
        </w:trPr>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October 2022</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Selection of students for the programs begins at the local level.</w:t>
            </w:r>
          </w:p>
        </w:tc>
      </w:tr>
      <w:tr w:rsidR="007E2BC0">
        <w:tc>
          <w:tcPr>
            <w:tcW w:w="3595" w:type="dxa"/>
            <w:shd w:val="clear" w:color="auto" w:fill="CCFF99"/>
            <w:vAlign w:val="center"/>
          </w:tcPr>
          <w:p w:rsidR="007E2BC0" w:rsidRDefault="006B7D37">
            <w:pPr>
              <w:pBdr>
                <w:top w:val="nil"/>
                <w:left w:val="nil"/>
                <w:bottom w:val="nil"/>
                <w:right w:val="nil"/>
                <w:between w:val="nil"/>
              </w:pBdr>
              <w:tabs>
                <w:tab w:val="center" w:pos="4320"/>
                <w:tab w:val="right" w:pos="8640"/>
              </w:tabs>
              <w:spacing w:before="120" w:after="120"/>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November 22, 2022</w:t>
            </w:r>
          </w:p>
          <w:p w:rsidR="007E2BC0" w:rsidRDefault="006B7D37">
            <w:pPr>
              <w:pBdr>
                <w:top w:val="nil"/>
                <w:left w:val="nil"/>
                <w:bottom w:val="nil"/>
                <w:right w:val="nil"/>
                <w:between w:val="nil"/>
              </w:pBdr>
              <w:tabs>
                <w:tab w:val="center" w:pos="4320"/>
                <w:tab w:val="right" w:pos="8640"/>
              </w:tabs>
              <w:spacing w:before="120" w:after="120"/>
              <w:jc w:val="cente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(online only)</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School divisions and private schools submit excel adjudication forms (available on the VDOE website) for their adjudicates to </w:t>
            </w:r>
            <w:hyperlink r:id="rId7">
              <w:r>
                <w:rPr>
                  <w:rFonts w:ascii="Times New Roman" w:eastAsia="Times New Roman" w:hAnsi="Times New Roman" w:cs="Times New Roman"/>
                  <w:color w:val="0000FF"/>
                  <w:sz w:val="21"/>
                  <w:szCs w:val="21"/>
                  <w:u w:val="single"/>
                </w:rPr>
                <w:t>rugovschool@radford.edu</w:t>
              </w:r>
            </w:hyperlink>
            <w:r>
              <w:rPr>
                <w:rFonts w:ascii="Times New Roman" w:eastAsia="Times New Roman" w:hAnsi="Times New Roman" w:cs="Times New Roman"/>
                <w:sz w:val="21"/>
                <w:szCs w:val="21"/>
              </w:rPr>
              <w:t>.</w:t>
            </w:r>
          </w:p>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School divisions and private schools notify the director of percussion instruments needed at any of the adjudication sites and any conflicts related to Virginia High School League (VHSL).</w:t>
            </w:r>
          </w:p>
        </w:tc>
      </w:tr>
      <w:tr w:rsidR="007E2BC0">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December 6, 2022</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School divisions and private schools receive individual adjudication letters regarding students’ scheduled time for distribution to students.</w:t>
            </w:r>
          </w:p>
        </w:tc>
      </w:tr>
      <w:tr w:rsidR="007E2BC0">
        <w:trPr>
          <w:trHeight w:val="341"/>
        </w:trPr>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January 6 (</w:t>
            </w:r>
            <w:r>
              <w:rPr>
                <w:rFonts w:ascii="Times New Roman" w:eastAsia="Times New Roman" w:hAnsi="Times New Roman" w:cs="Times New Roman"/>
                <w:i/>
                <w:sz w:val="21"/>
                <w:szCs w:val="21"/>
              </w:rPr>
              <w:t>evening</w:t>
            </w:r>
            <w:r>
              <w:rPr>
                <w:rFonts w:ascii="Times New Roman" w:eastAsia="Times New Roman" w:hAnsi="Times New Roman" w:cs="Times New Roman"/>
                <w:sz w:val="21"/>
                <w:szCs w:val="21"/>
              </w:rPr>
              <w:t>) - 7,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Site I Adjudication, Briar Woods High School, Ashburn </w:t>
            </w:r>
          </w:p>
        </w:tc>
      </w:tr>
      <w:tr w:rsidR="007E2BC0">
        <w:trPr>
          <w:trHeight w:val="350"/>
        </w:trPr>
        <w:tc>
          <w:tcPr>
            <w:tcW w:w="3595" w:type="dxa"/>
            <w:shd w:val="clear" w:color="auto" w:fill="CCFF99"/>
            <w:vAlign w:val="center"/>
          </w:tcPr>
          <w:p w:rsidR="007E2BC0" w:rsidRDefault="001D5372">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January 13</w:t>
            </w:r>
            <w:r w:rsidR="006B7D37">
              <w:rPr>
                <w:rFonts w:ascii="Times New Roman" w:eastAsia="Times New Roman" w:hAnsi="Times New Roman" w:cs="Times New Roman"/>
                <w:sz w:val="21"/>
                <w:szCs w:val="21"/>
              </w:rPr>
              <w:t xml:space="preserve"> </w:t>
            </w:r>
            <w:r w:rsidR="006B7D37">
              <w:rPr>
                <w:rFonts w:ascii="Times New Roman" w:eastAsia="Times New Roman" w:hAnsi="Times New Roman" w:cs="Times New Roman"/>
                <w:i/>
                <w:sz w:val="21"/>
                <w:szCs w:val="21"/>
              </w:rPr>
              <w:t>(evening)</w:t>
            </w:r>
            <w:r>
              <w:rPr>
                <w:rFonts w:ascii="Times New Roman" w:eastAsia="Times New Roman" w:hAnsi="Times New Roman" w:cs="Times New Roman"/>
                <w:sz w:val="21"/>
                <w:szCs w:val="21"/>
              </w:rPr>
              <w:t xml:space="preserve"> - 14</w:t>
            </w:r>
            <w:r w:rsidR="006B7D37">
              <w:rPr>
                <w:rFonts w:ascii="Times New Roman" w:eastAsia="Times New Roman" w:hAnsi="Times New Roman" w:cs="Times New Roman"/>
                <w:sz w:val="21"/>
                <w:szCs w:val="21"/>
              </w:rPr>
              <w:t>,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Site II Adjudication, Governor’s School for the Arts, Norfolk</w:t>
            </w:r>
          </w:p>
        </w:tc>
      </w:tr>
      <w:tr w:rsidR="007E2BC0">
        <w:trPr>
          <w:trHeight w:val="350"/>
        </w:trPr>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January 21,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bookmarkStart w:id="0" w:name="_heading=h.gjdgxs" w:colFirst="0" w:colLast="0"/>
            <w:bookmarkEnd w:id="0"/>
            <w:r>
              <w:rPr>
                <w:rFonts w:ascii="Times New Roman" w:eastAsia="Times New Roman" w:hAnsi="Times New Roman" w:cs="Times New Roman"/>
                <w:sz w:val="21"/>
                <w:szCs w:val="21"/>
              </w:rPr>
              <w:t>Site III Adjudication, Radford University, Radford</w:t>
            </w:r>
          </w:p>
        </w:tc>
      </w:tr>
      <w:tr w:rsidR="007E2BC0">
        <w:trPr>
          <w:trHeight w:val="58"/>
        </w:trPr>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February 2,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Adjudication Director emails students’ adjudication scores to school division and private school gifted education contacts.</w:t>
            </w:r>
          </w:p>
        </w:tc>
      </w:tr>
      <w:tr w:rsidR="007E2BC0">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Mid-February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Individual public and private school gifted education coordinators submit selected applications to the school division or private school regional coordinators.</w:t>
            </w:r>
          </w:p>
        </w:tc>
      </w:tr>
      <w:tr w:rsidR="007E2BC0">
        <w:tc>
          <w:tcPr>
            <w:tcW w:w="3595" w:type="dxa"/>
            <w:shd w:val="clear" w:color="auto" w:fill="CCFF99"/>
            <w:vAlign w:val="center"/>
          </w:tcPr>
          <w:p w:rsidR="007E2BC0" w:rsidRDefault="007E2BC0">
            <w:pPr>
              <w:spacing w:before="120" w:after="120"/>
              <w:rPr>
                <w:rFonts w:ascii="Times New Roman" w:eastAsia="Times New Roman" w:hAnsi="Times New Roman" w:cs="Times New Roman"/>
                <w:sz w:val="21"/>
                <w:szCs w:val="21"/>
              </w:rPr>
            </w:pPr>
          </w:p>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February 24, 2023</w:t>
            </w:r>
          </w:p>
        </w:tc>
        <w:tc>
          <w:tcPr>
            <w:tcW w:w="5755" w:type="dxa"/>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Each school division or private school region submits its nominees’ applications and its verification report to the VDOE.  The school division or private school region submits its nominee data electronically through the VDOE’s SSWS.</w:t>
            </w:r>
          </w:p>
        </w:tc>
      </w:tr>
      <w:tr w:rsidR="007E2BC0">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April 14,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School division gifted education and private school regional coordinators receive notification from VDOE about the 2023 Governor’s Summer Residential Programs. All nominees receive notification from the VDOE.</w:t>
            </w:r>
          </w:p>
        </w:tc>
      </w:tr>
      <w:tr w:rsidR="007E2BC0">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Mid-May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The VDOE mails initial invoices to school division superintendents and to heads of private schools for students attending the 2023 programs.</w:t>
            </w:r>
          </w:p>
        </w:tc>
      </w:tr>
      <w:tr w:rsidR="007E2BC0">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bookmarkStart w:id="1" w:name="_heading=h.30j0zll" w:colFirst="0" w:colLast="0"/>
            <w:bookmarkEnd w:id="1"/>
            <w:r>
              <w:rPr>
                <w:rFonts w:ascii="Times New Roman" w:eastAsia="Times New Roman" w:hAnsi="Times New Roman" w:cs="Times New Roman"/>
                <w:sz w:val="21"/>
                <w:szCs w:val="21"/>
              </w:rPr>
              <w:lastRenderedPageBreak/>
              <w:t>June 15,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Payments for private school students attending any of the World Language Academies or Summer Residential Governor's Schools must be received by the VDOE before the first program opens.</w:t>
            </w:r>
          </w:p>
        </w:tc>
      </w:tr>
      <w:tr w:rsidR="007E2BC0">
        <w:tc>
          <w:tcPr>
            <w:tcW w:w="3595" w:type="dxa"/>
            <w:shd w:val="clear" w:color="auto" w:fill="CCFF99"/>
            <w:vAlign w:val="center"/>
          </w:tcPr>
          <w:p w:rsidR="007E2BC0" w:rsidRDefault="006B7D37">
            <w:pPr>
              <w:spacing w:before="120" w:after="12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July 17, 2023</w:t>
            </w:r>
          </w:p>
        </w:tc>
        <w:tc>
          <w:tcPr>
            <w:tcW w:w="5755" w:type="dxa"/>
            <w:vAlign w:val="center"/>
          </w:tcPr>
          <w:p w:rsidR="007E2BC0" w:rsidRDefault="006B7D37">
            <w:pPr>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Payments for public school students attending any of the World Language Academies or Summer Residential Governor's Schools must be received by the VDOE.</w:t>
            </w:r>
          </w:p>
        </w:tc>
      </w:tr>
      <w:tr w:rsidR="007E2BC0">
        <w:tc>
          <w:tcPr>
            <w:tcW w:w="3595" w:type="dxa"/>
            <w:shd w:val="clear" w:color="auto" w:fill="CCFF99"/>
            <w:vAlign w:val="center"/>
          </w:tcPr>
          <w:p w:rsidR="007E2BC0" w:rsidRDefault="006B7D37">
            <w:pPr>
              <w:keepNext/>
              <w:pBdr>
                <w:top w:val="nil"/>
                <w:left w:val="nil"/>
                <w:bottom w:val="nil"/>
                <w:right w:val="nil"/>
                <w:between w:val="nil"/>
              </w:pBdr>
              <w:tabs>
                <w:tab w:val="center" w:pos="4320"/>
                <w:tab w:val="right" w:pos="8640"/>
              </w:tabs>
              <w:spacing w:before="120" w:after="120"/>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June 25 through July 22, 2023</w:t>
            </w:r>
          </w:p>
        </w:tc>
        <w:tc>
          <w:tcPr>
            <w:tcW w:w="5755" w:type="dxa"/>
            <w:vAlign w:val="center"/>
          </w:tcPr>
          <w:p w:rsidR="007E2BC0" w:rsidRDefault="006B7D37">
            <w:pPr>
              <w:keepNext/>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Summer Residential Governor’s School for Agriculture at Virginia Polytechnic Institute and State University; Summer Residential Governor’s School Mentorship in Engineering (Jefferson Labs) and Marine Science (VIMS) housed at Christopher Newport University; Summer Residential Governor’s School for Humanities and Visual and Performing Arts at Radford University</w:t>
            </w:r>
          </w:p>
        </w:tc>
      </w:tr>
      <w:tr w:rsidR="007E2BC0">
        <w:tc>
          <w:tcPr>
            <w:tcW w:w="3595" w:type="dxa"/>
            <w:shd w:val="clear" w:color="auto" w:fill="CCFF99"/>
            <w:vAlign w:val="center"/>
          </w:tcPr>
          <w:p w:rsidR="007E2BC0" w:rsidRDefault="006B7D37">
            <w:pPr>
              <w:keepNext/>
              <w:pBdr>
                <w:top w:val="nil"/>
                <w:left w:val="nil"/>
                <w:bottom w:val="nil"/>
                <w:right w:val="nil"/>
                <w:between w:val="nil"/>
              </w:pBdr>
              <w:tabs>
                <w:tab w:val="center" w:pos="4320"/>
                <w:tab w:val="right" w:pos="8640"/>
              </w:tabs>
              <w:spacing w:before="120" w:after="120"/>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July 2 through July 29, 2023</w:t>
            </w:r>
          </w:p>
        </w:tc>
        <w:tc>
          <w:tcPr>
            <w:tcW w:w="5755" w:type="dxa"/>
            <w:vAlign w:val="center"/>
          </w:tcPr>
          <w:p w:rsidR="007E2BC0" w:rsidRDefault="006B7D37" w:rsidP="00542D57">
            <w:pPr>
              <w:keepNext/>
              <w:spacing w:before="120" w:after="120"/>
              <w:rPr>
                <w:rFonts w:ascii="Times New Roman" w:eastAsia="Times New Roman" w:hAnsi="Times New Roman" w:cs="Times New Roman"/>
                <w:sz w:val="21"/>
                <w:szCs w:val="21"/>
              </w:rPr>
            </w:pPr>
            <w:r>
              <w:rPr>
                <w:rFonts w:ascii="Times New Roman" w:eastAsia="Times New Roman" w:hAnsi="Times New Roman" w:cs="Times New Roman"/>
                <w:sz w:val="21"/>
                <w:szCs w:val="21"/>
              </w:rPr>
              <w:t>Summer Residential Governor’s School for Mathematics, Science, and Technology at Lynchburg College</w:t>
            </w:r>
            <w:r w:rsidR="00542D57">
              <w:rPr>
                <w:rFonts w:ascii="Times New Roman" w:eastAsia="Times New Roman" w:hAnsi="Times New Roman" w:cs="Times New Roman"/>
                <w:sz w:val="21"/>
                <w:szCs w:val="21"/>
              </w:rPr>
              <w:t>.</w:t>
            </w:r>
          </w:p>
        </w:tc>
      </w:tr>
    </w:tbl>
    <w:p w:rsidR="007E2BC0" w:rsidRDefault="007E2BC0"/>
    <w:sectPr w:rsidR="007E2BC0">
      <w:headerReference w:type="even" r:id="rId8"/>
      <w:headerReference w:type="default" r:id="rId9"/>
      <w:footerReference w:type="even" r:id="rId10"/>
      <w:footerReference w:type="default" r:id="rId11"/>
      <w:headerReference w:type="first" r:id="rId12"/>
      <w:footerReference w:type="first" r:id="rId13"/>
      <w:pgSz w:w="12240" w:h="15840"/>
      <w:pgMar w:top="0"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2C8" w:rsidRDefault="009B32C8">
      <w:pPr>
        <w:spacing w:after="0" w:line="240" w:lineRule="auto"/>
      </w:pPr>
      <w:r>
        <w:separator/>
      </w:r>
    </w:p>
  </w:endnote>
  <w:endnote w:type="continuationSeparator" w:id="0">
    <w:p w:rsidR="009B32C8" w:rsidRDefault="009B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9F" w:rsidRDefault="004D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0" w:rsidRDefault="006B7D3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D719F">
      <w:rPr>
        <w:noProof/>
        <w:color w:val="000000"/>
      </w:rPr>
      <w:t>3</w:t>
    </w:r>
    <w:r>
      <w:rPr>
        <w:color w:val="000000"/>
      </w:rPr>
      <w:fldChar w:fldCharType="end"/>
    </w:r>
  </w:p>
  <w:p w:rsidR="007E2BC0" w:rsidRDefault="007E2BC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9F" w:rsidRDefault="004D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2C8" w:rsidRDefault="009B32C8">
      <w:pPr>
        <w:spacing w:after="0" w:line="240" w:lineRule="auto"/>
      </w:pPr>
      <w:r>
        <w:separator/>
      </w:r>
    </w:p>
  </w:footnote>
  <w:footnote w:type="continuationSeparator" w:id="0">
    <w:p w:rsidR="009B32C8" w:rsidRDefault="009B3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9F" w:rsidRDefault="004D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0" w:rsidRDefault="006B7D37">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Attachment A</w:t>
    </w:r>
  </w:p>
  <w:p w:rsidR="007E2BC0" w:rsidRDefault="004D719F">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Superintendent Memo #248-22</w:t>
    </w:r>
    <w:bookmarkStart w:id="2" w:name="_GoBack"/>
    <w:bookmarkEnd w:id="2"/>
  </w:p>
  <w:p w:rsidR="007E2BC0" w:rsidRDefault="004D719F">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October 21</w:t>
    </w:r>
    <w:r w:rsidR="006B7D37">
      <w:rPr>
        <w:rFonts w:ascii="Times New Roman" w:eastAsia="Times New Roman" w:hAnsi="Times New Roman" w:cs="Times New Roman"/>
        <w:color w:val="000000"/>
        <w:sz w:val="24"/>
        <w:szCs w:val="24"/>
      </w:rPr>
      <w:t>, 2022</w:t>
    </w:r>
  </w:p>
  <w:p w:rsidR="007E2BC0" w:rsidRDefault="007E2BC0">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9F" w:rsidRDefault="004D7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C0"/>
    <w:rsid w:val="001D5372"/>
    <w:rsid w:val="004D719F"/>
    <w:rsid w:val="00542D57"/>
    <w:rsid w:val="006B7D37"/>
    <w:rsid w:val="007E2BC0"/>
    <w:rsid w:val="009B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F7E6"/>
  <w15:docId w15:val="{B9580420-69CD-4B14-B311-F523FCF3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32FF"/>
    <w:pPr>
      <w:spacing w:after="0" w:line="240" w:lineRule="auto"/>
      <w:jc w:val="center"/>
      <w:outlineLvl w:val="0"/>
    </w:pPr>
    <w:rPr>
      <w:rFonts w:ascii="Times New Roman" w:hAnsi="Times New Roman" w:cs="Times New Roman"/>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11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11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11306"/>
    <w:rPr>
      <w:rFonts w:ascii="Times New Roman" w:eastAsia="Times New Roman" w:hAnsi="Times New Roman" w:cs="Times New Roman"/>
      <w:sz w:val="24"/>
      <w:szCs w:val="24"/>
    </w:rPr>
  </w:style>
  <w:style w:type="paragraph" w:styleId="BodyText">
    <w:name w:val="Body Text"/>
    <w:basedOn w:val="Normal"/>
    <w:link w:val="BodyTextChar"/>
    <w:rsid w:val="00311306"/>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11306"/>
    <w:rPr>
      <w:rFonts w:ascii="Times New Roman" w:eastAsia="Times New Roman" w:hAnsi="Times New Roman" w:cs="Times New Roman"/>
      <w:b/>
      <w:bCs/>
      <w:sz w:val="24"/>
      <w:szCs w:val="24"/>
    </w:rPr>
  </w:style>
  <w:style w:type="character" w:styleId="Hyperlink">
    <w:name w:val="Hyperlink"/>
    <w:rsid w:val="00311306"/>
    <w:rPr>
      <w:color w:val="0000FF"/>
      <w:u w:val="single"/>
    </w:rPr>
  </w:style>
  <w:style w:type="paragraph" w:styleId="Footer">
    <w:name w:val="footer"/>
    <w:basedOn w:val="Normal"/>
    <w:link w:val="FooterChar"/>
    <w:uiPriority w:val="99"/>
    <w:unhideWhenUsed/>
    <w:rsid w:val="00EC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0F3"/>
  </w:style>
  <w:style w:type="paragraph" w:styleId="BalloonText">
    <w:name w:val="Balloon Text"/>
    <w:basedOn w:val="Normal"/>
    <w:link w:val="BalloonTextChar"/>
    <w:uiPriority w:val="99"/>
    <w:semiHidden/>
    <w:unhideWhenUsed/>
    <w:rsid w:val="00D12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ECE"/>
    <w:rPr>
      <w:rFonts w:ascii="Tahoma" w:hAnsi="Tahoma" w:cs="Tahoma"/>
      <w:sz w:val="16"/>
      <w:szCs w:val="16"/>
    </w:rPr>
  </w:style>
  <w:style w:type="character" w:customStyle="1" w:styleId="Heading1Char">
    <w:name w:val="Heading 1 Char"/>
    <w:basedOn w:val="DefaultParagraphFont"/>
    <w:link w:val="Heading1"/>
    <w:uiPriority w:val="9"/>
    <w:rsid w:val="00ED32FF"/>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B906C0"/>
    <w:rPr>
      <w:sz w:val="16"/>
      <w:szCs w:val="16"/>
    </w:rPr>
  </w:style>
  <w:style w:type="paragraph" w:styleId="CommentText">
    <w:name w:val="annotation text"/>
    <w:basedOn w:val="Normal"/>
    <w:link w:val="CommentTextChar"/>
    <w:uiPriority w:val="99"/>
    <w:semiHidden/>
    <w:unhideWhenUsed/>
    <w:rsid w:val="00B906C0"/>
    <w:pPr>
      <w:spacing w:line="240" w:lineRule="auto"/>
    </w:pPr>
    <w:rPr>
      <w:sz w:val="20"/>
      <w:szCs w:val="20"/>
    </w:rPr>
  </w:style>
  <w:style w:type="character" w:customStyle="1" w:styleId="CommentTextChar">
    <w:name w:val="Comment Text Char"/>
    <w:basedOn w:val="DefaultParagraphFont"/>
    <w:link w:val="CommentText"/>
    <w:uiPriority w:val="99"/>
    <w:semiHidden/>
    <w:rsid w:val="00B906C0"/>
    <w:rPr>
      <w:sz w:val="20"/>
      <w:szCs w:val="20"/>
    </w:rPr>
  </w:style>
  <w:style w:type="paragraph" w:styleId="CommentSubject">
    <w:name w:val="annotation subject"/>
    <w:basedOn w:val="CommentText"/>
    <w:next w:val="CommentText"/>
    <w:link w:val="CommentSubjectChar"/>
    <w:uiPriority w:val="99"/>
    <w:semiHidden/>
    <w:unhideWhenUsed/>
    <w:rsid w:val="00B906C0"/>
    <w:rPr>
      <w:b/>
      <w:bCs/>
    </w:rPr>
  </w:style>
  <w:style w:type="character" w:customStyle="1" w:styleId="CommentSubjectChar">
    <w:name w:val="Comment Subject Char"/>
    <w:basedOn w:val="CommentTextChar"/>
    <w:link w:val="CommentSubject"/>
    <w:uiPriority w:val="99"/>
    <w:semiHidden/>
    <w:rsid w:val="00B906C0"/>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ugovschool@radford.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wMVxv1OW05DFc8Rj/WsfNeQwmQ==">AMUW2mXfm20CCVgI3qnGmGzqI2y//7AdYZYVtbcYLRjrvo5TGASkRdPdJhBCiuae6ocQ/Ry8XyKQzDjxGZsvBFsOFTGi3Ar/shun5k6xqcGqHnUY75CV43sReP2e8FRFH8uhLJm1s+1N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gwq04920</dc:creator>
  <cp:lastModifiedBy>VITA Program</cp:lastModifiedBy>
  <cp:revision>2</cp:revision>
  <dcterms:created xsi:type="dcterms:W3CDTF">2022-10-20T21:31:00Z</dcterms:created>
  <dcterms:modified xsi:type="dcterms:W3CDTF">2022-10-20T21:31:00Z</dcterms:modified>
</cp:coreProperties>
</file>