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817" w:rsidRPr="00A83FA5" w:rsidRDefault="002C5817" w:rsidP="002C5817">
      <w:pPr>
        <w:pStyle w:val="Default"/>
        <w:rPr>
          <w:sz w:val="32"/>
          <w:szCs w:val="32"/>
        </w:rPr>
      </w:pPr>
    </w:p>
    <w:p w:rsidR="002C5817" w:rsidRPr="00A83FA5" w:rsidRDefault="002C5817" w:rsidP="002C5817">
      <w:pPr>
        <w:pStyle w:val="Default"/>
        <w:jc w:val="center"/>
        <w:rPr>
          <w:sz w:val="32"/>
          <w:szCs w:val="32"/>
        </w:rPr>
      </w:pPr>
      <w:r w:rsidRPr="00A83FA5">
        <w:rPr>
          <w:b/>
          <w:bCs/>
          <w:i/>
          <w:iCs/>
          <w:sz w:val="32"/>
          <w:szCs w:val="32"/>
        </w:rPr>
        <w:t>Commonwealth of Virginia Critical Shortage Teaching Endorsement Areas</w:t>
      </w:r>
      <w:r w:rsidR="00A83FA5">
        <w:rPr>
          <w:b/>
          <w:bCs/>
          <w:i/>
          <w:iCs/>
          <w:sz w:val="32"/>
          <w:szCs w:val="32"/>
        </w:rPr>
        <w:t xml:space="preserve"> </w:t>
      </w:r>
      <w:r w:rsidRPr="00A83FA5">
        <w:rPr>
          <w:b/>
          <w:bCs/>
          <w:i/>
          <w:iCs/>
          <w:sz w:val="32"/>
          <w:szCs w:val="32"/>
        </w:rPr>
        <w:t xml:space="preserve">for </w:t>
      </w:r>
      <w:r w:rsidR="00CA5C57">
        <w:rPr>
          <w:b/>
          <w:bCs/>
          <w:i/>
          <w:iCs/>
          <w:sz w:val="32"/>
          <w:szCs w:val="32"/>
        </w:rPr>
        <w:t>2020-2021</w:t>
      </w:r>
      <w:r w:rsidRPr="00A83FA5">
        <w:rPr>
          <w:b/>
          <w:bCs/>
          <w:i/>
          <w:iCs/>
          <w:sz w:val="32"/>
          <w:szCs w:val="32"/>
        </w:rPr>
        <w:t xml:space="preserve"> School Year</w:t>
      </w:r>
    </w:p>
    <w:p w:rsidR="002C5817" w:rsidRPr="00E51EED" w:rsidRDefault="002C5817" w:rsidP="002C5817">
      <w:pPr>
        <w:pStyle w:val="Default"/>
        <w:rPr>
          <w:b/>
          <w:bCs/>
        </w:rPr>
      </w:pPr>
    </w:p>
    <w:p w:rsidR="002C5817" w:rsidRPr="00E51EED" w:rsidRDefault="002C5817" w:rsidP="00E51EED">
      <w:pPr>
        <w:pStyle w:val="Default"/>
        <w:jc w:val="center"/>
      </w:pPr>
      <w:r w:rsidRPr="00E51EED">
        <w:rPr>
          <w:b/>
          <w:bCs/>
        </w:rPr>
        <w:t>Prescribed Methodology for Determining</w:t>
      </w:r>
    </w:p>
    <w:p w:rsidR="002C5817" w:rsidRPr="00E51EED" w:rsidRDefault="002C5817" w:rsidP="00E51EED">
      <w:pPr>
        <w:pStyle w:val="Default"/>
        <w:jc w:val="center"/>
      </w:pPr>
      <w:r w:rsidRPr="00E51EED">
        <w:rPr>
          <w:b/>
          <w:bCs/>
        </w:rPr>
        <w:t>Critical Shortage Teaching Endorsement Areas in Virginia</w:t>
      </w:r>
    </w:p>
    <w:p w:rsidR="00E51EED" w:rsidRPr="00E51EED" w:rsidRDefault="00E51EED" w:rsidP="002C5817">
      <w:pPr>
        <w:pStyle w:val="Default"/>
        <w:rPr>
          <w:b/>
          <w:bCs/>
        </w:rPr>
      </w:pPr>
    </w:p>
    <w:p w:rsidR="00A83FA5" w:rsidRDefault="00A83FA5" w:rsidP="002C5817">
      <w:pPr>
        <w:pStyle w:val="Default"/>
        <w:rPr>
          <w:b/>
          <w:bCs/>
        </w:rPr>
      </w:pPr>
    </w:p>
    <w:p w:rsidR="002C5817" w:rsidRPr="00E51EED" w:rsidRDefault="002C5817" w:rsidP="002C5817">
      <w:pPr>
        <w:pStyle w:val="Default"/>
      </w:pPr>
      <w:r w:rsidRPr="00E51EED">
        <w:rPr>
          <w:b/>
          <w:bCs/>
        </w:rPr>
        <w:t xml:space="preserve">Overview: </w:t>
      </w:r>
    </w:p>
    <w:p w:rsidR="002C5817" w:rsidRPr="00E51EED" w:rsidRDefault="002C5817" w:rsidP="002C5817">
      <w:pPr>
        <w:pStyle w:val="Default"/>
      </w:pPr>
      <w:r w:rsidRPr="00E51EED">
        <w:t xml:space="preserve">The </w:t>
      </w:r>
      <w:r w:rsidRPr="00E51EED">
        <w:rPr>
          <w:i/>
          <w:iCs/>
        </w:rPr>
        <w:t xml:space="preserve">Appropriation Act </w:t>
      </w:r>
      <w:r w:rsidRPr="00E51EED">
        <w:t>requires the Department of Education to report annually to the General Assembly on the critical teaching shortage areas in Virginia. In response to this requirement, data were obtained from the Supply and Demand Survey for School Personnel and the Instructional Personnel Data Collection sent by the Department of Education to each of Virginia’s school division</w:t>
      </w:r>
      <w:r w:rsidR="00CA5C57">
        <w:t xml:space="preserve"> superintendents in October 2018</w:t>
      </w:r>
      <w:r w:rsidRPr="00E51EED">
        <w:t xml:space="preserve">, to determine qualifications for teachers and administrators. Information requested on the survey was based on school data reports as of </w:t>
      </w:r>
      <w:r w:rsidR="00E51EED" w:rsidRPr="00E51EED">
        <w:t>October</w:t>
      </w:r>
      <w:r w:rsidR="00CA5C57">
        <w:t xml:space="preserve"> 1, 2018</w:t>
      </w:r>
      <w:r w:rsidRPr="00E51EED">
        <w:t xml:space="preserve">. These </w:t>
      </w:r>
      <w:r w:rsidR="00CA5C57">
        <w:t>data were used to determine 2020-2021</w:t>
      </w:r>
      <w:r w:rsidRPr="00E51EED">
        <w:t xml:space="preserve"> critical shortage teaching endorsement areas in Virginia. </w:t>
      </w:r>
    </w:p>
    <w:p w:rsidR="00E51EED" w:rsidRPr="00E51EED" w:rsidRDefault="00E51EED" w:rsidP="002C5817">
      <w:pPr>
        <w:pStyle w:val="Default"/>
      </w:pPr>
    </w:p>
    <w:p w:rsidR="002C5817" w:rsidRPr="00E51EED" w:rsidRDefault="002C5817" w:rsidP="002C5817">
      <w:pPr>
        <w:pStyle w:val="Default"/>
      </w:pPr>
      <w:r w:rsidRPr="00E51EED">
        <w:t xml:space="preserve">In Virginia, “critical shortage” may be defined in two ways: (1) shortages by subject matter as designated from the top ten academic disciplines identified in an annual </w:t>
      </w:r>
      <w:r w:rsidR="00E46DC6">
        <w:t xml:space="preserve">survey of school divisions; or </w:t>
      </w:r>
      <w:r w:rsidRPr="00E51EED">
        <w:t xml:space="preserve">(2) a school personnel vacancy for which a school division receives three or fewer qualified candidates for a position. Determination of critical shortages in specific teaching endorsement areas and their rankings are dependent on the method of calculation used. As such, specific shortage areas identified will differ among school divisions (i.e., geographic regions) and statewide analysis of subject matter designations. </w:t>
      </w:r>
    </w:p>
    <w:p w:rsidR="00E51EED" w:rsidRPr="00E51EED" w:rsidRDefault="00E51EED" w:rsidP="002C5817">
      <w:pPr>
        <w:pStyle w:val="Default"/>
      </w:pPr>
    </w:p>
    <w:p w:rsidR="002C5817" w:rsidRPr="00E51EED" w:rsidRDefault="00270739" w:rsidP="002C5817">
      <w:pPr>
        <w:pStyle w:val="Default"/>
      </w:pPr>
      <w:r>
        <w:t xml:space="preserve">The </w:t>
      </w:r>
      <w:r w:rsidR="00CA5C57">
        <w:t>2020-2021</w:t>
      </w:r>
      <w:r>
        <w:t xml:space="preserve"> top ten critical shortage teaching endorsement areas identified statewide were determined based on method number one as noted above.  </w:t>
      </w:r>
      <w:r w:rsidR="002C5817" w:rsidRPr="00E51EED">
        <w:t xml:space="preserve">The top ten critical shortage teaching endorsement areas will be reported to the Virginia Retirement System and will be used to determine candidate eligibility for the Virginia Teaching Scholarship Loan Program. Endorsement areas were ranked according to the most severe academic teaching shortage areas. </w:t>
      </w:r>
    </w:p>
    <w:p w:rsidR="00E51EED" w:rsidRPr="00E51EED" w:rsidRDefault="00E51EED" w:rsidP="002C5817">
      <w:pPr>
        <w:pStyle w:val="Default"/>
      </w:pPr>
    </w:p>
    <w:p w:rsidR="00A83FA5" w:rsidRDefault="002C5817" w:rsidP="00A83FA5">
      <w:pPr>
        <w:pStyle w:val="Default"/>
      </w:pPr>
      <w:r w:rsidRPr="00E51EED">
        <w:t>The ranking is based on an aggregation of the following: a) total number of teaching</w:t>
      </w:r>
      <w:r w:rsidR="00B349E3">
        <w:t xml:space="preserve"> positions that are unfilled; and b</w:t>
      </w:r>
      <w:r w:rsidRPr="00E51EED">
        <w:t>) teaching positions that are filled by teachers who are licensed, but who are teaching in academic subject areas other than their area of preparation. Data analyses include calculated rankings in the</w:t>
      </w:r>
      <w:r w:rsidR="00E46DC6">
        <w:t>se</w:t>
      </w:r>
      <w:r w:rsidRPr="00E51EED">
        <w:t xml:space="preserve"> </w:t>
      </w:r>
      <w:r w:rsidR="00AD50B4">
        <w:t>two</w:t>
      </w:r>
      <w:r w:rsidRPr="00E51EED">
        <w:t xml:space="preserve"> </w:t>
      </w:r>
      <w:r w:rsidR="00E46DC6">
        <w:t>areas</w:t>
      </w:r>
      <w:r w:rsidR="001E2D0C">
        <w:t xml:space="preserve"> as of Oct</w:t>
      </w:r>
      <w:r w:rsidR="00CA5C57">
        <w:t>ober 1, 2018, as reported in the 2018</w:t>
      </w:r>
      <w:r w:rsidRPr="00E51EED">
        <w:t>-</w:t>
      </w:r>
      <w:r w:rsidR="00CA5C57">
        <w:t>2019</w:t>
      </w:r>
      <w:r w:rsidRPr="00E51EED">
        <w:t xml:space="preserve"> Supply and Demand Survey for School Personnel and the Instructional Personnel Data Collection. All 132 school divisions resp</w:t>
      </w:r>
      <w:r w:rsidR="00DE79A8">
        <w:t xml:space="preserve">onded </w:t>
      </w:r>
      <w:r w:rsidR="00A83FA5">
        <w:t xml:space="preserve">to the survey. A total of </w:t>
      </w:r>
      <w:r w:rsidR="008A24FB">
        <w:t>100,522</w:t>
      </w:r>
      <w:bookmarkStart w:id="0" w:name="_GoBack"/>
      <w:bookmarkEnd w:id="0"/>
      <w:r w:rsidR="00DE79A8">
        <w:t xml:space="preserve"> </w:t>
      </w:r>
      <w:r w:rsidRPr="00E51EED">
        <w:t>full-time equivalent (FTE</w:t>
      </w:r>
      <w:r w:rsidR="001E2D0C">
        <w:t xml:space="preserve">) teachers as of October </w:t>
      </w:r>
      <w:r w:rsidR="00CA5C57">
        <w:t>1, 2018, were reported for SY2018-2019</w:t>
      </w:r>
      <w:r w:rsidRPr="00E51EED">
        <w:t xml:space="preserve"> in the Instructional Personnel and Licensure annual data collection for school divisions. Rankings were totaled and the resulting sum ranked to determine critical teaching area shortages.</w:t>
      </w:r>
    </w:p>
    <w:p w:rsidR="00A83FA5" w:rsidRDefault="00A83FA5">
      <w:pPr>
        <w:rPr>
          <w:rFonts w:ascii="Times New Roman" w:eastAsiaTheme="minorHAnsi" w:hAnsi="Times New Roman" w:cs="Times New Roman"/>
          <w:color w:val="000000"/>
          <w:sz w:val="24"/>
          <w:szCs w:val="24"/>
        </w:rPr>
      </w:pPr>
      <w:r>
        <w:br w:type="page"/>
      </w:r>
    </w:p>
    <w:p w:rsidR="00A83FA5" w:rsidRPr="00E51EED" w:rsidRDefault="00A83FA5" w:rsidP="00C31D44">
      <w:pPr>
        <w:pStyle w:val="Default"/>
        <w:jc w:val="center"/>
        <w:rPr>
          <w:b/>
        </w:rPr>
      </w:pPr>
    </w:p>
    <w:p w:rsidR="00E51EED" w:rsidRPr="00E51EED" w:rsidRDefault="00CA5C57" w:rsidP="00C31D44">
      <w:pPr>
        <w:pStyle w:val="Default"/>
        <w:jc w:val="center"/>
        <w:rPr>
          <w:b/>
        </w:rPr>
      </w:pPr>
      <w:r>
        <w:rPr>
          <w:b/>
        </w:rPr>
        <w:t>2020-2021</w:t>
      </w:r>
      <w:r w:rsidR="00E51EED" w:rsidRPr="00E51EED">
        <w:rPr>
          <w:b/>
        </w:rPr>
        <w:t xml:space="preserve"> Ten Critical Shortage Teaching Endorsement Areas in Virginia</w:t>
      </w:r>
    </w:p>
    <w:p w:rsidR="00E51EED" w:rsidRDefault="00E51EED" w:rsidP="00E51EED">
      <w:pPr>
        <w:pStyle w:val="Default"/>
        <w:jc w:val="center"/>
        <w:rPr>
          <w:b/>
        </w:rPr>
      </w:pPr>
    </w:p>
    <w:p w:rsidR="00A83FA5" w:rsidRPr="00A83FA5" w:rsidRDefault="00A83FA5" w:rsidP="00A83FA5">
      <w:pPr>
        <w:pStyle w:val="Default"/>
        <w:jc w:val="center"/>
        <w:rPr>
          <w:b/>
        </w:rPr>
      </w:pPr>
    </w:p>
    <w:p w:rsidR="008A24FB" w:rsidRPr="008A24FB" w:rsidRDefault="008A24FB" w:rsidP="008A24FB">
      <w:pPr>
        <w:pStyle w:val="Default"/>
        <w:numPr>
          <w:ilvl w:val="0"/>
          <w:numId w:val="4"/>
        </w:numPr>
      </w:pPr>
      <w:r w:rsidRPr="008A24FB">
        <w:t>Special Education</w:t>
      </w:r>
    </w:p>
    <w:p w:rsidR="008A24FB" w:rsidRPr="008A24FB" w:rsidRDefault="008A24FB" w:rsidP="008A24FB">
      <w:pPr>
        <w:pStyle w:val="Default"/>
        <w:numPr>
          <w:ilvl w:val="0"/>
          <w:numId w:val="4"/>
        </w:numPr>
      </w:pPr>
      <w:r w:rsidRPr="008A24FB">
        <w:t>Elementary Education PreK-6</w:t>
      </w:r>
    </w:p>
    <w:p w:rsidR="008A24FB" w:rsidRPr="008A24FB" w:rsidRDefault="008A24FB" w:rsidP="008A24FB">
      <w:pPr>
        <w:pStyle w:val="Default"/>
        <w:numPr>
          <w:ilvl w:val="0"/>
          <w:numId w:val="4"/>
        </w:numPr>
      </w:pPr>
      <w:r w:rsidRPr="008A24FB">
        <w:t>Middle Education Grades 6-8</w:t>
      </w:r>
    </w:p>
    <w:p w:rsidR="008A24FB" w:rsidRPr="008A24FB" w:rsidRDefault="008A24FB" w:rsidP="008A24FB">
      <w:pPr>
        <w:pStyle w:val="Default"/>
        <w:numPr>
          <w:ilvl w:val="0"/>
          <w:numId w:val="4"/>
        </w:numPr>
      </w:pPr>
      <w:r w:rsidRPr="008A24FB">
        <w:t>Mathematics Grades 6-12 (including Algebra 1)</w:t>
      </w:r>
    </w:p>
    <w:p w:rsidR="008A24FB" w:rsidRPr="008A24FB" w:rsidRDefault="008A24FB" w:rsidP="008A24FB">
      <w:pPr>
        <w:pStyle w:val="Default"/>
        <w:numPr>
          <w:ilvl w:val="0"/>
          <w:numId w:val="4"/>
        </w:numPr>
      </w:pPr>
      <w:r w:rsidRPr="008A24FB">
        <w:t>Career and Technical Education</w:t>
      </w:r>
    </w:p>
    <w:p w:rsidR="008A24FB" w:rsidRPr="008A24FB" w:rsidRDefault="008A24FB" w:rsidP="008A24FB">
      <w:pPr>
        <w:pStyle w:val="Default"/>
        <w:numPr>
          <w:ilvl w:val="0"/>
          <w:numId w:val="4"/>
        </w:numPr>
      </w:pPr>
      <w:r w:rsidRPr="008A24FB">
        <w:t>Science (Secondary)</w:t>
      </w:r>
    </w:p>
    <w:p w:rsidR="008A24FB" w:rsidRPr="008A24FB" w:rsidRDefault="008A24FB" w:rsidP="008A24FB">
      <w:pPr>
        <w:pStyle w:val="Default"/>
        <w:numPr>
          <w:ilvl w:val="0"/>
          <w:numId w:val="4"/>
        </w:numPr>
      </w:pPr>
      <w:r w:rsidRPr="008A24FB">
        <w:t>Foreign Language PreK-12</w:t>
      </w:r>
    </w:p>
    <w:p w:rsidR="008A24FB" w:rsidRPr="008A24FB" w:rsidRDefault="008A24FB" w:rsidP="008A24FB">
      <w:pPr>
        <w:pStyle w:val="Default"/>
        <w:numPr>
          <w:ilvl w:val="0"/>
          <w:numId w:val="4"/>
        </w:numPr>
      </w:pPr>
      <w:r w:rsidRPr="008A24FB">
        <w:t>English (Secondary)</w:t>
      </w:r>
    </w:p>
    <w:p w:rsidR="008A24FB" w:rsidRPr="008A24FB" w:rsidRDefault="008A24FB" w:rsidP="008A24FB">
      <w:pPr>
        <w:pStyle w:val="Default"/>
        <w:numPr>
          <w:ilvl w:val="0"/>
          <w:numId w:val="4"/>
        </w:numPr>
      </w:pPr>
      <w:r w:rsidRPr="008A24FB">
        <w:t>Library Media PreK-12</w:t>
      </w:r>
    </w:p>
    <w:p w:rsidR="00A83FA5" w:rsidRPr="008A24FB" w:rsidRDefault="008A24FB" w:rsidP="008A24FB">
      <w:pPr>
        <w:pStyle w:val="Default"/>
        <w:numPr>
          <w:ilvl w:val="0"/>
          <w:numId w:val="4"/>
        </w:numPr>
      </w:pPr>
      <w:r w:rsidRPr="008A24FB">
        <w:t>History and Social Science (Secondary)</w:t>
      </w:r>
    </w:p>
    <w:sectPr w:rsidR="00A83FA5" w:rsidRPr="008A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547EA"/>
    <w:multiLevelType w:val="hybridMultilevel"/>
    <w:tmpl w:val="49CC8D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337A11C4"/>
    <w:multiLevelType w:val="hybridMultilevel"/>
    <w:tmpl w:val="4A4A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61242"/>
    <w:multiLevelType w:val="multilevel"/>
    <w:tmpl w:val="3B0E04CA"/>
    <w:lvl w:ilvl="0">
      <w:start w:val="2018"/>
      <w:numFmt w:val="decimal"/>
      <w:lvlText w:val="%1"/>
      <w:lvlJc w:val="left"/>
      <w:pPr>
        <w:ind w:left="1044" w:hanging="1044"/>
      </w:pPr>
      <w:rPr>
        <w:rFonts w:hint="default"/>
      </w:rPr>
    </w:lvl>
    <w:lvl w:ilvl="1">
      <w:start w:val="2019"/>
      <w:numFmt w:val="decimal"/>
      <w:lvlText w:val="%1-%2"/>
      <w:lvlJc w:val="left"/>
      <w:pPr>
        <w:ind w:left="275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957FEE"/>
    <w:multiLevelType w:val="hybridMultilevel"/>
    <w:tmpl w:val="5522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17"/>
    <w:rsid w:val="000E4ED9"/>
    <w:rsid w:val="001E2D0C"/>
    <w:rsid w:val="00270739"/>
    <w:rsid w:val="002C5817"/>
    <w:rsid w:val="008A24FB"/>
    <w:rsid w:val="00A83FA5"/>
    <w:rsid w:val="00AD50B4"/>
    <w:rsid w:val="00B349E3"/>
    <w:rsid w:val="00C25A69"/>
    <w:rsid w:val="00C31D44"/>
    <w:rsid w:val="00CA5C57"/>
    <w:rsid w:val="00DE79A8"/>
    <w:rsid w:val="00DF212D"/>
    <w:rsid w:val="00E04FA5"/>
    <w:rsid w:val="00E46DC6"/>
    <w:rsid w:val="00E51EED"/>
    <w:rsid w:val="00F9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6F43"/>
  <w15:docId w15:val="{474FDF8A-88A8-479B-A276-7E2A7B6E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A69"/>
    <w:rPr>
      <w:rFonts w:ascii="Arial" w:eastAsiaTheme="minorEastAsia" w:hAnsi="Arial" w:cs="Arial"/>
      <w:sz w:val="22"/>
      <w:szCs w:val="22"/>
    </w:rPr>
  </w:style>
  <w:style w:type="paragraph" w:styleId="Heading1">
    <w:name w:val="heading 1"/>
    <w:basedOn w:val="Normal"/>
    <w:next w:val="Normal"/>
    <w:link w:val="Heading1Char"/>
    <w:uiPriority w:val="9"/>
    <w:qFormat/>
    <w:rsid w:val="00C25A69"/>
    <w:pPr>
      <w:keepNext/>
      <w:keepLines/>
      <w:spacing w:before="480"/>
      <w:outlineLvl w:val="0"/>
    </w:pPr>
    <w:rPr>
      <w:rFonts w:asciiTheme="majorHAnsi" w:eastAsiaTheme="majorEastAsia" w:hAnsiTheme="majorHAnsi" w:cstheme="majorBidi"/>
      <w:b/>
      <w:bCs/>
      <w:color w:val="1B1E54" w:themeColor="accent1" w:themeShade="BF"/>
      <w:sz w:val="28"/>
      <w:szCs w:val="28"/>
    </w:rPr>
  </w:style>
  <w:style w:type="paragraph" w:styleId="Heading2">
    <w:name w:val="heading 2"/>
    <w:basedOn w:val="Normal"/>
    <w:next w:val="Normal"/>
    <w:link w:val="Heading2Char"/>
    <w:uiPriority w:val="9"/>
    <w:unhideWhenUsed/>
    <w:qFormat/>
    <w:rsid w:val="00C25A69"/>
    <w:pPr>
      <w:keepNext/>
      <w:keepLines/>
      <w:spacing w:before="200"/>
      <w:outlineLvl w:val="1"/>
    </w:pPr>
    <w:rPr>
      <w:rFonts w:asciiTheme="majorHAnsi" w:eastAsiaTheme="majorEastAsia" w:hAnsiTheme="majorHAnsi" w:cstheme="majorBidi"/>
      <w:b/>
      <w:bCs/>
      <w:color w:val="252971" w:themeColor="accent1"/>
      <w:sz w:val="26"/>
      <w:szCs w:val="26"/>
    </w:rPr>
  </w:style>
  <w:style w:type="paragraph" w:styleId="Heading3">
    <w:name w:val="heading 3"/>
    <w:basedOn w:val="Normal"/>
    <w:next w:val="Normal"/>
    <w:link w:val="Heading3Char"/>
    <w:uiPriority w:val="9"/>
    <w:unhideWhenUsed/>
    <w:qFormat/>
    <w:rsid w:val="00C25A69"/>
    <w:pPr>
      <w:keepNext/>
      <w:keepLines/>
      <w:spacing w:before="200"/>
      <w:outlineLvl w:val="2"/>
    </w:pPr>
    <w:rPr>
      <w:rFonts w:asciiTheme="majorHAnsi" w:eastAsiaTheme="majorEastAsia" w:hAnsiTheme="majorHAnsi" w:cstheme="majorBidi"/>
      <w:b/>
      <w:bCs/>
      <w:color w:val="2529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69"/>
    <w:rPr>
      <w:rFonts w:asciiTheme="majorHAnsi" w:eastAsiaTheme="majorEastAsia" w:hAnsiTheme="majorHAnsi" w:cstheme="majorBidi"/>
      <w:b/>
      <w:bCs/>
      <w:color w:val="1B1E54" w:themeColor="accent1" w:themeShade="BF"/>
      <w:sz w:val="28"/>
      <w:szCs w:val="28"/>
    </w:rPr>
  </w:style>
  <w:style w:type="character" w:customStyle="1" w:styleId="Heading2Char">
    <w:name w:val="Heading 2 Char"/>
    <w:basedOn w:val="DefaultParagraphFont"/>
    <w:link w:val="Heading2"/>
    <w:uiPriority w:val="9"/>
    <w:rsid w:val="00C25A69"/>
    <w:rPr>
      <w:rFonts w:asciiTheme="majorHAnsi" w:eastAsiaTheme="majorEastAsia" w:hAnsiTheme="majorHAnsi" w:cstheme="majorBidi"/>
      <w:b/>
      <w:bCs/>
      <w:color w:val="252971" w:themeColor="accent1"/>
      <w:sz w:val="26"/>
      <w:szCs w:val="26"/>
    </w:rPr>
  </w:style>
  <w:style w:type="character" w:customStyle="1" w:styleId="Heading3Char">
    <w:name w:val="Heading 3 Char"/>
    <w:basedOn w:val="DefaultParagraphFont"/>
    <w:link w:val="Heading3"/>
    <w:uiPriority w:val="9"/>
    <w:rsid w:val="00C25A69"/>
    <w:rPr>
      <w:rFonts w:asciiTheme="majorHAnsi" w:eastAsiaTheme="majorEastAsia" w:hAnsiTheme="majorHAnsi" w:cstheme="majorBidi"/>
      <w:b/>
      <w:bCs/>
      <w:color w:val="252971" w:themeColor="accent1"/>
      <w:sz w:val="22"/>
      <w:szCs w:val="22"/>
    </w:rPr>
  </w:style>
  <w:style w:type="paragraph" w:styleId="TOCHeading">
    <w:name w:val="TOC Heading"/>
    <w:basedOn w:val="Heading1"/>
    <w:next w:val="Normal"/>
    <w:uiPriority w:val="39"/>
    <w:semiHidden/>
    <w:unhideWhenUsed/>
    <w:qFormat/>
    <w:rsid w:val="00C25A69"/>
    <w:pPr>
      <w:spacing w:line="276" w:lineRule="auto"/>
      <w:outlineLvl w:val="9"/>
    </w:pPr>
    <w:rPr>
      <w:lang w:eastAsia="ja-JP"/>
    </w:rPr>
  </w:style>
  <w:style w:type="paragraph" w:customStyle="1" w:styleId="Default">
    <w:name w:val="Default"/>
    <w:rsid w:val="002C5817"/>
    <w:pPr>
      <w:autoSpaceDE w:val="0"/>
      <w:autoSpaceDN w:val="0"/>
      <w:adjustRightInd w:val="0"/>
    </w:pPr>
    <w:rPr>
      <w:color w:val="000000"/>
      <w:sz w:val="24"/>
      <w:szCs w:val="24"/>
    </w:rPr>
  </w:style>
  <w:style w:type="table" w:styleId="TableGrid">
    <w:name w:val="Table Grid"/>
    <w:basedOn w:val="TableNormal"/>
    <w:uiPriority w:val="59"/>
    <w:rsid w:val="00E5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60033"/>
      </a:dk2>
      <a:lt2>
        <a:srgbClr val="666699"/>
      </a:lt2>
      <a:accent1>
        <a:srgbClr val="252971"/>
      </a:accent1>
      <a:accent2>
        <a:srgbClr val="F2EC00"/>
      </a:accent2>
      <a:accent3>
        <a:srgbClr val="FFFFFF"/>
      </a:accent3>
      <a:accent4>
        <a:srgbClr val="000000"/>
      </a:accent4>
      <a:accent5>
        <a:srgbClr val="ACACBB"/>
      </a:accent5>
      <a:accent6>
        <a:srgbClr val="FF0000"/>
      </a:accent6>
      <a:hlink>
        <a:srgbClr val="5A84D8"/>
      </a:hlink>
      <a:folHlink>
        <a:srgbClr val="6600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Critical Shortage Teaching Areas 2018-2019</vt:lpstr>
    </vt:vector>
  </TitlesOfParts>
  <Company>Virginia IT Infrastructure Partnership</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Shortage Teaching Areas 2018-2019</dc:title>
  <dc:creator>kch03785</dc:creator>
  <cp:lastModifiedBy>McDaniel, Tara (DOE)</cp:lastModifiedBy>
  <cp:revision>3</cp:revision>
  <cp:lastPrinted>2019-06-06T18:35:00Z</cp:lastPrinted>
  <dcterms:created xsi:type="dcterms:W3CDTF">2020-06-11T23:22:00Z</dcterms:created>
  <dcterms:modified xsi:type="dcterms:W3CDTF">2020-06-11T23:23:00Z</dcterms:modified>
</cp:coreProperties>
</file>