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49" w:rsidRDefault="003341D3" w:rsidP="002E7549">
      <w:pPr>
        <w:pStyle w:val="Heading2"/>
      </w:pPr>
      <w:r w:rsidRPr="00217709">
        <w:t xml:space="preserve">Speech Sound Disorders: </w:t>
      </w:r>
      <w:r w:rsidR="00217709">
        <w:br/>
      </w:r>
      <w:r w:rsidRPr="00217709">
        <w:t>Integrating Research and Virginia Regulations</w:t>
      </w:r>
    </w:p>
    <w:p w:rsidR="002E7549" w:rsidRDefault="002E7549" w:rsidP="002E7549"/>
    <w:p w:rsidR="002E7549" w:rsidRDefault="002E7549" w:rsidP="002E7549">
      <w:r>
        <w:t xml:space="preserve">This handout accompanies the VDOE video on </w:t>
      </w:r>
      <w:r>
        <w:t xml:space="preserve">Speech Sound Disorders: </w:t>
      </w:r>
    </w:p>
    <w:p w:rsidR="002E7549" w:rsidRPr="002E7549" w:rsidRDefault="002E7549" w:rsidP="002E7549">
      <w:r>
        <w:t>Integrating Research and Virginia Regulations</w:t>
      </w:r>
      <w:r>
        <w:t xml:space="preserve"> available from the V</w:t>
      </w:r>
      <w:hyperlink r:id="rId5" w:history="1">
        <w:r w:rsidRPr="002E7549">
          <w:rPr>
            <w:rStyle w:val="Hyperlink"/>
          </w:rPr>
          <w:t>DOE SLP Professional Development</w:t>
        </w:r>
      </w:hyperlink>
      <w:r>
        <w:t xml:space="preserve"> page.</w:t>
      </w:r>
    </w:p>
    <w:p w:rsidR="00217709" w:rsidRPr="00217709" w:rsidRDefault="00217709" w:rsidP="00217709"/>
    <w:p w:rsidR="00000000" w:rsidRPr="00217709" w:rsidRDefault="00817F56" w:rsidP="00217709">
      <w:pPr>
        <w:pStyle w:val="Heading3"/>
      </w:pPr>
      <w:r w:rsidRPr="00217709">
        <w:t>Newest Research</w:t>
      </w:r>
    </w:p>
    <w:p w:rsidR="00217709" w:rsidRPr="00217709" w:rsidRDefault="002E7549" w:rsidP="00217709">
      <w:hyperlink r:id="rId6" w:history="1">
        <w:r w:rsidR="00217709" w:rsidRPr="002E7549">
          <w:rPr>
            <w:rStyle w:val="Hyperlink"/>
          </w:rPr>
          <w:t>Children’s English consonant acquisition in the United States: A review</w:t>
        </w:r>
      </w:hyperlink>
      <w:r w:rsidR="00217709" w:rsidRPr="00217709">
        <w:t>. (Crowe and McLeod, 2020)</w:t>
      </w:r>
    </w:p>
    <w:p w:rsidR="00000000" w:rsidRPr="00217709" w:rsidRDefault="00817F56" w:rsidP="00217709">
      <w:pPr>
        <w:pStyle w:val="ListParagraph"/>
        <w:numPr>
          <w:ilvl w:val="0"/>
          <w:numId w:val="2"/>
        </w:numPr>
      </w:pPr>
      <w:r w:rsidRPr="00217709">
        <w:t>Re-analysis of studies of consonant acquisition and tests with a combined total of 18,187 children</w:t>
      </w:r>
    </w:p>
    <w:p w:rsidR="00000000" w:rsidRPr="00217709" w:rsidRDefault="00817F56" w:rsidP="00217709">
      <w:pPr>
        <w:pStyle w:val="ListParagraph"/>
        <w:numPr>
          <w:ilvl w:val="0"/>
          <w:numId w:val="2"/>
        </w:numPr>
      </w:pPr>
      <w:r w:rsidRPr="00217709">
        <w:t>Does not separate norms for boys an</w:t>
      </w:r>
      <w:r w:rsidRPr="00217709">
        <w:t xml:space="preserve">d girls </w:t>
      </w:r>
    </w:p>
    <w:p w:rsidR="00000000" w:rsidRPr="00217709" w:rsidRDefault="00817F56" w:rsidP="00217709">
      <w:pPr>
        <w:pStyle w:val="ListParagraph"/>
        <w:numPr>
          <w:ilvl w:val="0"/>
          <w:numId w:val="2"/>
        </w:numPr>
      </w:pPr>
      <w:r w:rsidRPr="00217709">
        <w:t>Most sounds acquired by age 6</w:t>
      </w:r>
    </w:p>
    <w:p w:rsidR="00217709" w:rsidRDefault="00217709" w:rsidP="00217709"/>
    <w:p w:rsidR="00217709" w:rsidRPr="00217709" w:rsidRDefault="00217709" w:rsidP="00217709">
      <w:r w:rsidRPr="00217709">
        <w:t>Evaluating Children in U.S. Public Schools with Speech Sound Disorders: Considering Federal and State Laws, Guidance, and Research (</w:t>
      </w:r>
      <w:r w:rsidRPr="00217709">
        <w:t>Ireland, McLeod, Farquharson, Crowe</w:t>
      </w:r>
      <w:r>
        <w:t xml:space="preserve">, </w:t>
      </w:r>
      <w:r w:rsidRPr="00217709">
        <w:t xml:space="preserve">2020 in press)  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Examines use of new norms</w:t>
      </w:r>
      <w:r w:rsidRPr="00217709">
        <w:t xml:space="preserve"> with IDEA and state requirements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Tests are not the sole indicator of a SSD under IDEA</w:t>
      </w:r>
    </w:p>
    <w:p w:rsidR="00217709" w:rsidRDefault="00217709" w:rsidP="00217709"/>
    <w:p w:rsidR="00000000" w:rsidRPr="00217709" w:rsidRDefault="002E7549" w:rsidP="00217709">
      <w:r>
        <w:t xml:space="preserve">Session </w:t>
      </w:r>
      <w:r w:rsidR="00817F56" w:rsidRPr="00217709">
        <w:t>Highlights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Educational vs Medical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Civil Rights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Virginia Regulations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Research Based Tools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>Educational vs Medical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Clinical impairment is NOT sufficient for IDEA educational identification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Clinical services are available for a fee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Schools do not fill prescriptions for services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>Civil Rights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Identification of a child as disabled, who does not meet the federal definition of special education</w:t>
      </w:r>
    </w:p>
    <w:p w:rsidR="00000000" w:rsidRPr="00217709" w:rsidRDefault="00817F56" w:rsidP="00217709">
      <w:pPr>
        <w:pStyle w:val="ListParagraph"/>
        <w:numPr>
          <w:ilvl w:val="1"/>
          <w:numId w:val="3"/>
        </w:numPr>
      </w:pPr>
      <w:r w:rsidRPr="00217709">
        <w:t>may h</w:t>
      </w:r>
      <w:r w:rsidRPr="00217709">
        <w:t>ave negative educational consequences and</w:t>
      </w:r>
    </w:p>
    <w:p w:rsidR="00000000" w:rsidRPr="00217709" w:rsidRDefault="00817F56" w:rsidP="00217709">
      <w:pPr>
        <w:pStyle w:val="ListParagraph"/>
        <w:numPr>
          <w:ilvl w:val="1"/>
          <w:numId w:val="3"/>
        </w:numPr>
      </w:pPr>
      <w:r w:rsidRPr="00217709">
        <w:t xml:space="preserve">is a violation of the child’s civil rights (U.S. Department of Education, 2016) </w:t>
      </w:r>
    </w:p>
    <w:p w:rsidR="00000000" w:rsidRPr="00217709" w:rsidRDefault="00817F56" w:rsidP="00217709">
      <w:pPr>
        <w:pStyle w:val="ListParagraph"/>
        <w:numPr>
          <w:ilvl w:val="0"/>
          <w:numId w:val="3"/>
        </w:numPr>
      </w:pPr>
      <w:r w:rsidRPr="00217709">
        <w:t>T</w:t>
      </w:r>
      <w:r w:rsidRPr="00217709">
        <w:t xml:space="preserve">o address </w:t>
      </w:r>
      <w:proofErr w:type="spellStart"/>
      <w:r w:rsidRPr="00217709">
        <w:t>overidentification</w:t>
      </w:r>
      <w:proofErr w:type="spellEnd"/>
      <w:r w:rsidRPr="00217709">
        <w:t xml:space="preserve">, IDEA requires states to submit data on every new eligibility in five disability categories.  SLI is one of the five categories. 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 xml:space="preserve">Eligibility </w:t>
      </w:r>
      <w:proofErr w:type="gramStart"/>
      <w:r w:rsidRPr="00217709">
        <w:t>Under</w:t>
      </w:r>
      <w:proofErr w:type="gramEnd"/>
      <w:r w:rsidRPr="00217709">
        <w:t xml:space="preserve"> IDEA</w:t>
      </w:r>
    </w:p>
    <w:p w:rsidR="00217709" w:rsidRPr="00217709" w:rsidRDefault="00217709" w:rsidP="00217709">
      <w:r w:rsidRPr="00217709">
        <w:t>To qualify as a child with a disability, a team must determine that:</w:t>
      </w:r>
    </w:p>
    <w:p w:rsidR="00000000" w:rsidRPr="00217709" w:rsidRDefault="00817F56" w:rsidP="00217709">
      <w:pPr>
        <w:pStyle w:val="ListParagraph"/>
        <w:numPr>
          <w:ilvl w:val="0"/>
          <w:numId w:val="4"/>
        </w:numPr>
      </w:pPr>
      <w:r w:rsidRPr="00217709">
        <w:t>the student has an impairment</w:t>
      </w:r>
    </w:p>
    <w:p w:rsidR="00000000" w:rsidRPr="00217709" w:rsidRDefault="00817F56" w:rsidP="00217709">
      <w:pPr>
        <w:pStyle w:val="ListParagraph"/>
        <w:numPr>
          <w:ilvl w:val="0"/>
          <w:numId w:val="4"/>
        </w:numPr>
      </w:pPr>
      <w:r w:rsidRPr="00217709">
        <w:t>the impairment results in an educational impact</w:t>
      </w:r>
    </w:p>
    <w:p w:rsidR="00000000" w:rsidRPr="00217709" w:rsidRDefault="00817F56" w:rsidP="00217709">
      <w:pPr>
        <w:pStyle w:val="ListParagraph"/>
        <w:numPr>
          <w:ilvl w:val="0"/>
          <w:numId w:val="4"/>
        </w:numPr>
      </w:pPr>
      <w:r w:rsidRPr="00217709">
        <w:lastRenderedPageBreak/>
        <w:t>the child requires specially designed instruction to make progress</w:t>
      </w:r>
    </w:p>
    <w:p w:rsidR="00217709" w:rsidRDefault="00217709" w:rsidP="00217709"/>
    <w:p w:rsidR="00217709" w:rsidRPr="00217709" w:rsidRDefault="00217709" w:rsidP="00217709">
      <w:r w:rsidRPr="00217709">
        <w:t xml:space="preserve">School-based SLPs must work as part of an interdisciplinary team </w:t>
      </w:r>
      <w:r w:rsidRPr="00217709">
        <w:br/>
        <w:t>that uses a variety of assessment tools and strategies to gather developmental, functional, and academic information (U.S. Department of Education, 2006; CFR 300.304)</w:t>
      </w:r>
    </w:p>
    <w:p w:rsidR="00217709" w:rsidRDefault="00217709" w:rsidP="00217709"/>
    <w:p w:rsidR="00000000" w:rsidRPr="00217709" w:rsidRDefault="00817F56" w:rsidP="002E7549">
      <w:pPr>
        <w:pStyle w:val="Heading3"/>
      </w:pPr>
      <w:r w:rsidRPr="00217709">
        <w:t>Eligibility in Virginia</w:t>
      </w:r>
    </w:p>
    <w:p w:rsidR="00000000" w:rsidRPr="00217709" w:rsidRDefault="00817F56" w:rsidP="00217709">
      <w:pPr>
        <w:pStyle w:val="ListParagraph"/>
        <w:numPr>
          <w:ilvl w:val="0"/>
          <w:numId w:val="5"/>
        </w:numPr>
      </w:pPr>
      <w:r w:rsidRPr="00217709">
        <w:t>Virginia regulations  (include federal requirements)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 xml:space="preserve">Impairment 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Not a result of socio-cultural  dialect or LEP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Educational impact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Need for specially designed instruction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Observation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Heari</w:t>
      </w:r>
      <w:r w:rsidRPr="00217709">
        <w:t>ng screening (initial only)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IDEA Reminders</w:t>
      </w:r>
    </w:p>
    <w:p w:rsidR="00000000" w:rsidRPr="00217709" w:rsidRDefault="00817F56" w:rsidP="00217709">
      <w:pPr>
        <w:pStyle w:val="ListParagraph"/>
        <w:numPr>
          <w:ilvl w:val="0"/>
          <w:numId w:val="5"/>
        </w:numPr>
      </w:pPr>
      <w:r w:rsidRPr="00217709">
        <w:t>IDEA prohibits the use of “any single measure or assessment as the sole criterion</w:t>
      </w:r>
      <w:r w:rsidRPr="00217709">
        <w:t xml:space="preserve"> for determining whether a child is a child with a disability…” (U.S. Department of Education, 2006, CFR 300.304 b. 2) </w:t>
      </w:r>
    </w:p>
    <w:p w:rsidR="00217709" w:rsidRDefault="00217709" w:rsidP="00217709"/>
    <w:p w:rsidR="00000000" w:rsidRPr="00217709" w:rsidRDefault="00817F56" w:rsidP="00217709">
      <w:r w:rsidRPr="00217709">
        <w:t xml:space="preserve">Evaluations for SSD under IDEA should document 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SSD using current research (normative data)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Educational impact</w:t>
      </w:r>
    </w:p>
    <w:p w:rsidR="00000000" w:rsidRPr="00217709" w:rsidRDefault="00817F56" w:rsidP="00217709">
      <w:pPr>
        <w:pStyle w:val="ListParagraph"/>
        <w:numPr>
          <w:ilvl w:val="1"/>
          <w:numId w:val="5"/>
        </w:numPr>
      </w:pPr>
      <w:r w:rsidRPr="00217709">
        <w:t>Need for speciall</w:t>
      </w:r>
      <w:r w:rsidRPr="00217709">
        <w:t>y designed instruction</w:t>
      </w:r>
    </w:p>
    <w:p w:rsidR="00217709" w:rsidRDefault="00217709" w:rsidP="00217709"/>
    <w:p w:rsidR="00000000" w:rsidRPr="00217709" w:rsidRDefault="00817F56" w:rsidP="00217709">
      <w:r w:rsidRPr="00217709">
        <w:t>Evidence-Based Eligibility</w:t>
      </w:r>
    </w:p>
    <w:p w:rsidR="00217709" w:rsidRPr="00217709" w:rsidRDefault="00217709" w:rsidP="002E7549">
      <w:pPr>
        <w:ind w:left="720"/>
      </w:pPr>
      <w:r w:rsidRPr="00217709">
        <w:t xml:space="preserve">To make evidence based decisions that comply with federal and state regulations, school SLPs must have awareness </w:t>
      </w:r>
      <w:proofErr w:type="gramStart"/>
      <w:r w:rsidRPr="00217709">
        <w:t>of</w:t>
      </w:r>
      <w:proofErr w:type="gramEnd"/>
      <w:r w:rsidRPr="00217709">
        <w:t>:</w:t>
      </w:r>
    </w:p>
    <w:p w:rsidR="00000000" w:rsidRPr="00217709" w:rsidRDefault="00817F56" w:rsidP="002E7549">
      <w:pPr>
        <w:pStyle w:val="ListParagraph"/>
        <w:numPr>
          <w:ilvl w:val="1"/>
          <w:numId w:val="6"/>
        </w:numPr>
        <w:tabs>
          <w:tab w:val="clear" w:pos="1440"/>
          <w:tab w:val="num" w:pos="2160"/>
        </w:tabs>
        <w:ind w:left="2160"/>
      </w:pPr>
      <w:r w:rsidRPr="00217709">
        <w:t>Federal regulations (IDEA)</w:t>
      </w:r>
    </w:p>
    <w:p w:rsidR="00000000" w:rsidRPr="00217709" w:rsidRDefault="00817F56" w:rsidP="002E7549">
      <w:pPr>
        <w:pStyle w:val="ListParagraph"/>
        <w:numPr>
          <w:ilvl w:val="1"/>
          <w:numId w:val="6"/>
        </w:numPr>
        <w:tabs>
          <w:tab w:val="clear" w:pos="1440"/>
          <w:tab w:val="num" w:pos="2160"/>
        </w:tabs>
        <w:ind w:left="2160"/>
      </w:pPr>
      <w:r w:rsidRPr="00217709">
        <w:t xml:space="preserve">Virginia regulations </w:t>
      </w:r>
    </w:p>
    <w:p w:rsidR="00000000" w:rsidRPr="00217709" w:rsidRDefault="00817F56" w:rsidP="002E7549">
      <w:pPr>
        <w:pStyle w:val="ListParagraph"/>
        <w:numPr>
          <w:ilvl w:val="1"/>
          <w:numId w:val="6"/>
        </w:numPr>
        <w:tabs>
          <w:tab w:val="clear" w:pos="1440"/>
          <w:tab w:val="num" w:pos="2160"/>
        </w:tabs>
        <w:ind w:left="2160"/>
      </w:pPr>
      <w:r w:rsidRPr="00217709">
        <w:t>Virginia guidance and resources</w:t>
      </w:r>
    </w:p>
    <w:p w:rsidR="00000000" w:rsidRPr="00217709" w:rsidRDefault="00817F56" w:rsidP="002E7549">
      <w:pPr>
        <w:pStyle w:val="ListParagraph"/>
        <w:numPr>
          <w:ilvl w:val="1"/>
          <w:numId w:val="6"/>
        </w:numPr>
        <w:tabs>
          <w:tab w:val="clear" w:pos="1440"/>
          <w:tab w:val="num" w:pos="2160"/>
        </w:tabs>
        <w:ind w:left="2160"/>
      </w:pPr>
      <w:r w:rsidRPr="00217709">
        <w:t>Evidence in our professional literature</w:t>
      </w:r>
    </w:p>
    <w:p w:rsidR="00000000" w:rsidRPr="00217709" w:rsidRDefault="00817F56" w:rsidP="002E7549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</w:pPr>
      <w:r w:rsidRPr="00217709">
        <w:t xml:space="preserve"> Virginia regulations have specific criteria!   </w:t>
      </w:r>
    </w:p>
    <w:p w:rsidR="00000000" w:rsidRPr="00217709" w:rsidRDefault="00817F56" w:rsidP="002E7549">
      <w:pPr>
        <w:pStyle w:val="ListParagraph"/>
        <w:numPr>
          <w:ilvl w:val="0"/>
          <w:numId w:val="7"/>
        </w:numPr>
        <w:tabs>
          <w:tab w:val="clear" w:pos="720"/>
          <w:tab w:val="num" w:pos="1440"/>
        </w:tabs>
        <w:ind w:left="1440"/>
      </w:pPr>
      <w:r w:rsidRPr="00217709">
        <w:t>Use Virginia guidance to stay in compliance.</w:t>
      </w:r>
    </w:p>
    <w:p w:rsidR="00217709" w:rsidRDefault="00217709" w:rsidP="00217709"/>
    <w:p w:rsidR="00000000" w:rsidRPr="00217709" w:rsidRDefault="00817F56" w:rsidP="00217709">
      <w:r w:rsidRPr="00217709">
        <w:t>Impairment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Document using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Standardized test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Sound inventory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Percent Consonants Correct </w:t>
      </w:r>
    </w:p>
    <w:p w:rsidR="00217709" w:rsidRDefault="00217709" w:rsidP="00217709"/>
    <w:p w:rsidR="00000000" w:rsidRPr="00217709" w:rsidRDefault="00817F56" w:rsidP="00217709">
      <w:r w:rsidRPr="00217709">
        <w:t>Educational I</w:t>
      </w:r>
      <w:r w:rsidRPr="00217709">
        <w:t>mpact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Academic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Reading or spelling issues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Behavioral/Social E</w:t>
      </w:r>
      <w:r w:rsidRPr="00217709">
        <w:t>motional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Intelligibility or social emotional issues</w:t>
      </w:r>
    </w:p>
    <w:p w:rsidR="00217709" w:rsidRDefault="00217709" w:rsidP="00217709"/>
    <w:p w:rsidR="00000000" w:rsidRPr="00217709" w:rsidRDefault="00817F56" w:rsidP="00217709">
      <w:r w:rsidRPr="00217709">
        <w:t>Data from Classroom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Writing samples to show sound errors in spelling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Teacher data to show comprehension issues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Intelligibility dat</w:t>
      </w:r>
      <w:r w:rsidRPr="00217709">
        <w:t>a from teachers and peers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Student and teacher interviews documenting social-emotional issues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Observation data</w:t>
      </w:r>
    </w:p>
    <w:p w:rsidR="00217709" w:rsidRDefault="00217709" w:rsidP="00217709"/>
    <w:p w:rsidR="00000000" w:rsidRPr="00217709" w:rsidRDefault="00817F56" w:rsidP="00217709">
      <w:r w:rsidRPr="00217709">
        <w:t>Intelligibility in Context Scale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hyperlink r:id="rId7" w:history="1">
        <w:r w:rsidRPr="00217709">
          <w:rPr>
            <w:rStyle w:val="Hyperlink"/>
          </w:rPr>
          <w:t xml:space="preserve">Intelligibility in Context Scale </w:t>
        </w:r>
      </w:hyperlink>
      <w:r w:rsidRPr="00217709">
        <w:t>(ICS)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Free parent-re</w:t>
      </w:r>
      <w:r w:rsidRPr="00217709">
        <w:t xml:space="preserve">port tool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 xml:space="preserve">Available in over 60 languages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Documents children’s intelligibility with different communicative partners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McLeod, S., Harrison, L. J., &amp; McCormack, J. (2012). </w:t>
      </w:r>
      <w:hyperlink r:id="rId8" w:history="1">
        <w:r w:rsidRPr="00217709">
          <w:rPr>
            <w:rStyle w:val="Hyperlink"/>
          </w:rPr>
          <w:t>Intelligibility in Context Scale: Validity and reliability of a s</w:t>
        </w:r>
        <w:r w:rsidRPr="00217709">
          <w:rPr>
            <w:rStyle w:val="Hyperlink"/>
          </w:rPr>
          <w:t>ubjective rating measure</w:t>
        </w:r>
      </w:hyperlink>
      <w:r w:rsidRPr="00217709">
        <w:t xml:space="preserve">. </w:t>
      </w:r>
      <w:r w:rsidRPr="00217709">
        <w:rPr>
          <w:i/>
          <w:iCs/>
        </w:rPr>
        <w:t>Journal of Speech, Language, and Hearing Research, 55</w:t>
      </w:r>
      <w:r w:rsidRPr="00217709">
        <w:t xml:space="preserve">, 648-656. </w:t>
      </w:r>
    </w:p>
    <w:p w:rsidR="00217709" w:rsidRDefault="00217709" w:rsidP="00217709"/>
    <w:p w:rsidR="00000000" w:rsidRPr="00217709" w:rsidRDefault="00817F56" w:rsidP="00217709">
      <w:r w:rsidRPr="00217709">
        <w:t>Need for Specially Designed Instruction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Examine if a child requires specially designed in</w:t>
      </w:r>
      <w:r w:rsidRPr="00217709">
        <w:t xml:space="preserve">struction to correct a SSD </w:t>
      </w:r>
    </w:p>
    <w:p w:rsid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Examine </w:t>
      </w:r>
      <w:proofErr w:type="spellStart"/>
      <w:r w:rsidRPr="00217709">
        <w:t>stimulability</w:t>
      </w:r>
      <w:proofErr w:type="spellEnd"/>
      <w:r w:rsidRPr="00217709">
        <w:t xml:space="preserve"> or modifiability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PCC Imitative Measure (Johnson, Weston and Bain, 2004)</w:t>
      </w:r>
    </w:p>
    <w:p w:rsidR="00217709" w:rsidRDefault="00817F56" w:rsidP="00217709">
      <w:pPr>
        <w:pStyle w:val="ListParagraph"/>
        <w:numPr>
          <w:ilvl w:val="1"/>
          <w:numId w:val="8"/>
        </w:numPr>
      </w:pPr>
      <w:r w:rsidRPr="00217709">
        <w:t xml:space="preserve">VDOE New </w:t>
      </w:r>
      <w:proofErr w:type="spellStart"/>
      <w:r w:rsidRPr="00217709">
        <w:t>Form</w:t>
      </w:r>
      <w:proofErr w:type="spellEnd"/>
    </w:p>
    <w:p w:rsidR="00217709" w:rsidRDefault="00217709" w:rsidP="00217709"/>
    <w:p w:rsidR="00000000" w:rsidRPr="00217709" w:rsidRDefault="00817F56" w:rsidP="00217709">
      <w:proofErr w:type="spellStart"/>
      <w:r w:rsidRPr="00217709">
        <w:t>Stimulability</w:t>
      </w:r>
      <w:proofErr w:type="spellEnd"/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As part of a standardized articulation test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 xml:space="preserve">VDOE New form for </w:t>
      </w:r>
      <w:proofErr w:type="spellStart"/>
      <w:r w:rsidRPr="00217709">
        <w:t>Miccio</w:t>
      </w:r>
      <w:proofErr w:type="spellEnd"/>
      <w:r w:rsidRPr="00217709">
        <w:t xml:space="preserve"> Probe (VDOE,  2020; </w:t>
      </w:r>
      <w:proofErr w:type="spellStart"/>
      <w:r w:rsidRPr="00217709">
        <w:t>Miccio</w:t>
      </w:r>
      <w:proofErr w:type="spellEnd"/>
      <w:r w:rsidRPr="00217709">
        <w:t xml:space="preserve">, </w:t>
      </w:r>
      <w:r w:rsidRPr="00217709">
        <w:t>2002)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 xml:space="preserve">Dynamic assessment to collect information on children’s </w:t>
      </w:r>
      <w:proofErr w:type="spellStart"/>
      <w:r w:rsidRPr="00217709">
        <w:t>stimulability</w:t>
      </w:r>
      <w:proofErr w:type="spellEnd"/>
      <w:r w:rsidRPr="00217709">
        <w:t xml:space="preserve"> or modifiability 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>Research Based Tools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PCC Imitative Task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MICCIO Probe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Parent Teacher Information Sheet</w:t>
      </w:r>
    </w:p>
    <w:p w:rsidR="00217709" w:rsidRDefault="00217709" w:rsidP="00217709"/>
    <w:p w:rsidR="00000000" w:rsidRPr="00217709" w:rsidRDefault="00817F56" w:rsidP="00217709">
      <w:r w:rsidRPr="00217709">
        <w:t>When Students are Not Eligible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>Parents may seek  clinical services outside of the school setting (e.g., private practice, outp</w:t>
      </w:r>
      <w:r w:rsidRPr="00217709">
        <w:t xml:space="preserve">atient clinic, university clinic, or community) </w:t>
      </w:r>
    </w:p>
    <w:p w:rsidR="00000000" w:rsidRPr="00217709" w:rsidRDefault="00817F56" w:rsidP="00217709">
      <w:pPr>
        <w:pStyle w:val="ListParagraph"/>
        <w:numPr>
          <w:ilvl w:val="0"/>
          <w:numId w:val="8"/>
        </w:numPr>
      </w:pPr>
      <w:r w:rsidRPr="00217709">
        <w:t xml:space="preserve">SLP services may be offered in general education for children with SSD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MTS</w:t>
      </w:r>
      <w:r w:rsidRPr="00217709">
        <w:t xml:space="preserve">S or </w:t>
      </w:r>
      <w:proofErr w:type="spellStart"/>
      <w:r w:rsidRPr="00217709">
        <w:t>RtI</w:t>
      </w:r>
      <w:proofErr w:type="spellEnd"/>
      <w:r w:rsidRPr="00217709">
        <w:t xml:space="preserve"> services may be appropriate for students </w:t>
      </w:r>
    </w:p>
    <w:p w:rsidR="00000000" w:rsidRPr="00217709" w:rsidRDefault="00817F56" w:rsidP="00217709">
      <w:pPr>
        <w:pStyle w:val="ListParagraph"/>
        <w:numPr>
          <w:ilvl w:val="2"/>
          <w:numId w:val="8"/>
        </w:numPr>
      </w:pPr>
      <w:r w:rsidRPr="00217709">
        <w:t xml:space="preserve">Who are </w:t>
      </w:r>
      <w:proofErr w:type="spellStart"/>
      <w:r w:rsidRPr="00217709">
        <w:t>stimulable</w:t>
      </w:r>
      <w:proofErr w:type="spellEnd"/>
      <w:r w:rsidRPr="00217709">
        <w:t xml:space="preserve"> </w:t>
      </w:r>
    </w:p>
    <w:p w:rsidR="00000000" w:rsidRPr="00217709" w:rsidRDefault="00817F56" w:rsidP="00217709">
      <w:pPr>
        <w:pStyle w:val="ListParagraph"/>
        <w:numPr>
          <w:ilvl w:val="2"/>
          <w:numId w:val="8"/>
        </w:numPr>
      </w:pPr>
      <w:r w:rsidRPr="00217709">
        <w:t xml:space="preserve">Who do not demonstrate an educational impact </w:t>
      </w:r>
    </w:p>
    <w:p w:rsidR="00000000" w:rsidRPr="00217709" w:rsidRDefault="00817F56" w:rsidP="00217709">
      <w:pPr>
        <w:pStyle w:val="ListParagraph"/>
        <w:numPr>
          <w:ilvl w:val="1"/>
          <w:numId w:val="8"/>
        </w:numPr>
      </w:pPr>
      <w:r w:rsidRPr="00217709">
        <w:t>Pre-referral intervention by SLPs may include</w:t>
      </w:r>
    </w:p>
    <w:p w:rsidR="00000000" w:rsidRPr="00217709" w:rsidRDefault="00817F56" w:rsidP="00217709">
      <w:pPr>
        <w:pStyle w:val="ListParagraph"/>
        <w:numPr>
          <w:ilvl w:val="2"/>
          <w:numId w:val="8"/>
        </w:numPr>
      </w:pPr>
      <w:r w:rsidRPr="00217709">
        <w:t xml:space="preserve">Home practice programs for families </w:t>
      </w:r>
    </w:p>
    <w:p w:rsidR="00000000" w:rsidRPr="00217709" w:rsidRDefault="00817F56" w:rsidP="00217709">
      <w:pPr>
        <w:pStyle w:val="ListParagraph"/>
        <w:numPr>
          <w:ilvl w:val="2"/>
          <w:numId w:val="8"/>
        </w:numPr>
      </w:pPr>
      <w:r w:rsidRPr="00217709">
        <w:t>Before or after school programs</w:t>
      </w:r>
    </w:p>
    <w:p w:rsidR="00000000" w:rsidRPr="00217709" w:rsidRDefault="00817F56" w:rsidP="00217709">
      <w:pPr>
        <w:pStyle w:val="ListParagraph"/>
        <w:numPr>
          <w:ilvl w:val="2"/>
          <w:numId w:val="8"/>
        </w:numPr>
      </w:pPr>
      <w:r w:rsidRPr="00217709">
        <w:t>Time limited intervention groups (e.g., Speech Busters, Sound Breakers)</w:t>
      </w:r>
    </w:p>
    <w:p w:rsidR="00000000" w:rsidRPr="00217709" w:rsidRDefault="00817F56" w:rsidP="00217709">
      <w:pPr>
        <w:pStyle w:val="ListParagraph"/>
        <w:numPr>
          <w:ilvl w:val="0"/>
          <w:numId w:val="9"/>
        </w:numPr>
      </w:pPr>
      <w:r w:rsidRPr="00217709">
        <w:lastRenderedPageBreak/>
        <w:t>Ch</w:t>
      </w:r>
      <w:r w:rsidRPr="00217709">
        <w:t>eck with your local school districts for guidance on general education  SLP services</w:t>
      </w:r>
    </w:p>
    <w:p w:rsidR="00217709" w:rsidRDefault="00217709" w:rsidP="00217709">
      <w:pPr>
        <w:ind w:left="360"/>
      </w:pPr>
    </w:p>
    <w:p w:rsidR="00000000" w:rsidRPr="00217709" w:rsidRDefault="00817F56" w:rsidP="002E7549">
      <w:pPr>
        <w:pStyle w:val="Heading3"/>
      </w:pPr>
      <w:r w:rsidRPr="00217709">
        <w:t>Clinical Implications for SLPs</w:t>
      </w:r>
    </w:p>
    <w:p w:rsidR="00000000" w:rsidRPr="00217709" w:rsidRDefault="00817F56" w:rsidP="00217709">
      <w:pPr>
        <w:pStyle w:val="ListParagraph"/>
        <w:numPr>
          <w:ilvl w:val="0"/>
          <w:numId w:val="10"/>
        </w:numPr>
      </w:pPr>
      <w:r w:rsidRPr="00217709">
        <w:t xml:space="preserve">School </w:t>
      </w:r>
      <w:r w:rsidRPr="00217709">
        <w:t xml:space="preserve">SLPs must </w:t>
      </w:r>
    </w:p>
    <w:p w:rsidR="00000000" w:rsidRPr="00217709" w:rsidRDefault="00817F56" w:rsidP="00217709">
      <w:pPr>
        <w:pStyle w:val="ListParagraph"/>
        <w:numPr>
          <w:ilvl w:val="1"/>
          <w:numId w:val="10"/>
        </w:numPr>
      </w:pPr>
      <w:r w:rsidRPr="00217709">
        <w:t xml:space="preserve">consider multiple sources of data </w:t>
      </w:r>
    </w:p>
    <w:p w:rsidR="00000000" w:rsidRPr="00217709" w:rsidRDefault="00817F56" w:rsidP="00217709">
      <w:pPr>
        <w:pStyle w:val="ListParagraph"/>
        <w:numPr>
          <w:ilvl w:val="1"/>
          <w:numId w:val="10"/>
        </w:numPr>
      </w:pPr>
      <w:r w:rsidRPr="00217709">
        <w:t xml:space="preserve">document all three prongs of the definition of special education </w:t>
      </w:r>
    </w:p>
    <w:p w:rsidR="00000000" w:rsidRPr="00217709" w:rsidRDefault="00817F56" w:rsidP="00217709">
      <w:pPr>
        <w:pStyle w:val="ListParagraph"/>
        <w:numPr>
          <w:ilvl w:val="1"/>
          <w:numId w:val="10"/>
        </w:numPr>
      </w:pPr>
      <w:r w:rsidRPr="00217709">
        <w:t>not prioritize one source of data (e.g., standardized test scores or norms) over others</w:t>
      </w:r>
    </w:p>
    <w:p w:rsidR="00000000" w:rsidRPr="00217709" w:rsidRDefault="00817F56" w:rsidP="00217709">
      <w:pPr>
        <w:pStyle w:val="ListParagraph"/>
        <w:numPr>
          <w:ilvl w:val="0"/>
          <w:numId w:val="10"/>
        </w:numPr>
      </w:pPr>
      <w:r w:rsidRPr="00217709">
        <w:t xml:space="preserve">Strict adherence to these federal and state requirements may help to address the caseload challenges </w:t>
      </w:r>
    </w:p>
    <w:p w:rsidR="00000000" w:rsidRPr="00217709" w:rsidRDefault="00817F56" w:rsidP="00217709">
      <w:pPr>
        <w:pStyle w:val="ListParagraph"/>
        <w:numPr>
          <w:ilvl w:val="0"/>
          <w:numId w:val="10"/>
        </w:numPr>
      </w:pPr>
      <w:r w:rsidRPr="00217709">
        <w:t>Professionals outside</w:t>
      </w:r>
      <w:r w:rsidRPr="00217709">
        <w:t xml:space="preserve"> of the school setting should also be aware of the differences required for services under IDEA in the public school setting to not pressure schools for inappropriate services</w:t>
      </w:r>
    </w:p>
    <w:p w:rsidR="00217709" w:rsidRDefault="00217709" w:rsidP="00217709"/>
    <w:p w:rsidR="00000000" w:rsidRPr="00217709" w:rsidRDefault="00817F56" w:rsidP="00217709">
      <w:r w:rsidRPr="00217709">
        <w:t>ASHA Admission</w:t>
      </w:r>
      <w:r w:rsidRPr="00217709">
        <w:t xml:space="preserve"> and Discharge Criteria </w:t>
      </w:r>
    </w:p>
    <w:p w:rsidR="00217709" w:rsidRPr="00217709" w:rsidRDefault="00217709" w:rsidP="002E7549">
      <w:pPr>
        <w:ind w:left="360"/>
      </w:pPr>
      <w:r w:rsidRPr="00217709">
        <w:t>Factors appropriate for use under IDEA include:</w:t>
      </w:r>
    </w:p>
    <w:p w:rsidR="00000000" w:rsidRPr="00217709" w:rsidRDefault="00817F56" w:rsidP="002E7549">
      <w:pPr>
        <w:pStyle w:val="ListParagraph"/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217709">
        <w:t>Unable to communicate functionally or optimally acro</w:t>
      </w:r>
      <w:r w:rsidRPr="00217709">
        <w:t>ss environments and communication partners</w:t>
      </w:r>
    </w:p>
    <w:p w:rsidR="00000000" w:rsidRPr="00217709" w:rsidRDefault="00817F56" w:rsidP="002E7549">
      <w:pPr>
        <w:pStyle w:val="ListParagraph"/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217709">
        <w:t>Communication skills negatively affect educational, social, emotional, or vocational performance</w:t>
      </w:r>
    </w:p>
    <w:p w:rsidR="00217709" w:rsidRPr="00217709" w:rsidRDefault="00217709" w:rsidP="002E7549">
      <w:pPr>
        <w:ind w:left="360"/>
      </w:pPr>
      <w:r w:rsidRPr="00217709">
        <w:t>Factors not appropriate for use under IDEA:</w:t>
      </w:r>
    </w:p>
    <w:p w:rsidR="00000000" w:rsidRPr="00217709" w:rsidRDefault="00817F56" w:rsidP="002E7549">
      <w:pPr>
        <w:pStyle w:val="ListParagraph"/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217709">
        <w:t>Failure to pass a screening assessment for communication</w:t>
      </w:r>
    </w:p>
    <w:p w:rsidR="00000000" w:rsidRPr="00217709" w:rsidRDefault="00817F56" w:rsidP="002E7549">
      <w:pPr>
        <w:pStyle w:val="ListParagraph"/>
        <w:numPr>
          <w:ilvl w:val="1"/>
          <w:numId w:val="12"/>
        </w:numPr>
        <w:tabs>
          <w:tab w:val="clear" w:pos="1440"/>
          <w:tab w:val="num" w:pos="1800"/>
        </w:tabs>
        <w:ind w:left="1800"/>
      </w:pPr>
      <w:r w:rsidRPr="00217709">
        <w:t xml:space="preserve">Relies  </w:t>
      </w:r>
      <w:r w:rsidRPr="00217709">
        <w:t>on a single source of data</w:t>
      </w:r>
    </w:p>
    <w:p w:rsidR="00000000" w:rsidRPr="00217709" w:rsidRDefault="00817F56" w:rsidP="002E7549">
      <w:pPr>
        <w:pStyle w:val="ListParagraph"/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217709">
        <w:t xml:space="preserve">The individual, family, and/or guardian seeks services to enhance communication skills </w:t>
      </w:r>
    </w:p>
    <w:p w:rsidR="00217709" w:rsidRDefault="00817F56" w:rsidP="002E7549">
      <w:pPr>
        <w:pStyle w:val="ListParagraph"/>
        <w:numPr>
          <w:ilvl w:val="1"/>
          <w:numId w:val="12"/>
        </w:numPr>
        <w:tabs>
          <w:tab w:val="clear" w:pos="1440"/>
          <w:tab w:val="num" w:pos="1800"/>
        </w:tabs>
        <w:ind w:left="1800"/>
      </w:pPr>
      <w:r w:rsidRPr="00217709">
        <w:t>not suffi</w:t>
      </w:r>
      <w:r w:rsidRPr="00217709">
        <w:t xml:space="preserve">cient to identify a child as “disabled” under IDEA </w:t>
      </w:r>
    </w:p>
    <w:p w:rsidR="00217709" w:rsidRDefault="00217709" w:rsidP="00217709"/>
    <w:p w:rsidR="00000000" w:rsidRPr="00217709" w:rsidRDefault="00817F56" w:rsidP="002E7549">
      <w:pPr>
        <w:pStyle w:val="Heading3"/>
      </w:pPr>
      <w:bookmarkStart w:id="0" w:name="_GoBack"/>
      <w:r w:rsidRPr="00217709">
        <w:t xml:space="preserve">Eligibility </w:t>
      </w:r>
      <w:proofErr w:type="gramStart"/>
      <w:r w:rsidRPr="00217709">
        <w:t>Under</w:t>
      </w:r>
      <w:proofErr w:type="gramEnd"/>
      <w:r w:rsidRPr="00217709">
        <w:t xml:space="preserve"> IDEA</w:t>
      </w:r>
    </w:p>
    <w:bookmarkEnd w:id="0"/>
    <w:p w:rsidR="00217709" w:rsidRPr="00217709" w:rsidRDefault="00217709" w:rsidP="00217709">
      <w:r w:rsidRPr="00217709">
        <w:t>To qualify as a child with a disability, a team must determine that:</w:t>
      </w:r>
    </w:p>
    <w:p w:rsidR="00000000" w:rsidRPr="00217709" w:rsidRDefault="00817F56" w:rsidP="00217709">
      <w:pPr>
        <w:pStyle w:val="ListParagraph"/>
        <w:numPr>
          <w:ilvl w:val="0"/>
          <w:numId w:val="14"/>
        </w:numPr>
      </w:pPr>
      <w:r w:rsidRPr="00217709">
        <w:t>the student has an impairment</w:t>
      </w:r>
    </w:p>
    <w:p w:rsidR="00000000" w:rsidRPr="00217709" w:rsidRDefault="00817F56" w:rsidP="00217709">
      <w:pPr>
        <w:pStyle w:val="ListParagraph"/>
        <w:numPr>
          <w:ilvl w:val="0"/>
          <w:numId w:val="14"/>
        </w:numPr>
      </w:pPr>
      <w:r w:rsidRPr="00217709">
        <w:t>the impairment results in an educational impact</w:t>
      </w:r>
    </w:p>
    <w:p w:rsidR="00000000" w:rsidRPr="00217709" w:rsidRDefault="00817F56" w:rsidP="00217709">
      <w:pPr>
        <w:pStyle w:val="ListParagraph"/>
        <w:numPr>
          <w:ilvl w:val="0"/>
          <w:numId w:val="14"/>
        </w:numPr>
      </w:pPr>
      <w:r w:rsidRPr="00217709">
        <w:t>the child requires specially designed instruction to make progress</w:t>
      </w:r>
    </w:p>
    <w:p w:rsidR="002E7549" w:rsidRDefault="002E7549" w:rsidP="00217709"/>
    <w:p w:rsidR="00217709" w:rsidRPr="00217709" w:rsidRDefault="00217709" w:rsidP="00217709">
      <w:r w:rsidRPr="00217709">
        <w:t xml:space="preserve">School-based SLPs must work as part of an interdisciplinary team </w:t>
      </w:r>
      <w:r w:rsidRPr="00217709">
        <w:br/>
        <w:t>that uses a variety of assessment tools and strategies to gather developmental, functional, and academic information (U.S. Department of Education, 2006; CFR 300.304)</w:t>
      </w:r>
    </w:p>
    <w:p w:rsidR="00217709" w:rsidRDefault="00217709" w:rsidP="00217709"/>
    <w:p w:rsidR="00000000" w:rsidRPr="00217709" w:rsidRDefault="00817F56" w:rsidP="00217709">
      <w:r w:rsidRPr="00217709">
        <w:t>Considerations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r w:rsidRPr="00217709">
        <w:t>Educational identification vs. Medical/clinical  diagnosis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r w:rsidRPr="00217709">
        <w:t>Civil r</w:t>
      </w:r>
      <w:r w:rsidR="002E7549">
        <w:t>ights issues when documentation</w:t>
      </w:r>
      <w:r w:rsidRPr="00217709">
        <w:t xml:space="preserve"> for all criteria is lacking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proofErr w:type="spellStart"/>
      <w:r w:rsidRPr="00217709">
        <w:t>Overidentification</w:t>
      </w:r>
      <w:proofErr w:type="spellEnd"/>
      <w:r w:rsidRPr="00217709">
        <w:t xml:space="preserve"> and federal monitoring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lastRenderedPageBreak/>
        <w:t>Free Resources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9" w:history="1">
        <w:r w:rsidRPr="00217709">
          <w:rPr>
            <w:rStyle w:val="Hyperlink"/>
          </w:rPr>
          <w:t>Eligibility, Educational Impact &amp; Cas</w:t>
        </w:r>
        <w:r w:rsidRPr="00217709">
          <w:rPr>
            <w:rStyle w:val="Hyperlink"/>
          </w:rPr>
          <w:t>eloads: State Agency Supports for School SLPs</w:t>
        </w:r>
      </w:hyperlink>
      <w:r w:rsidRPr="00217709">
        <w:t> (ASHA Poster)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0" w:history="1">
        <w:r w:rsidRPr="00217709">
          <w:rPr>
            <w:rStyle w:val="Hyperlink"/>
          </w:rPr>
          <w:t>Professional Learning Resources for School Based Professionals</w:t>
        </w:r>
      </w:hyperlink>
      <w:r w:rsidRPr="00217709">
        <w:t xml:space="preserve"> (ASHA Poster)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1" w:history="1">
        <w:r w:rsidRPr="00217709">
          <w:rPr>
            <w:rStyle w:val="Hyperlink"/>
          </w:rPr>
          <w:t>Understanding Advocacy for School Funding</w:t>
        </w:r>
      </w:hyperlink>
      <w:r w:rsidRPr="00217709">
        <w:t> (PPT)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2" w:history="1">
        <w:proofErr w:type="gramStart"/>
        <w:r w:rsidRPr="00217709">
          <w:rPr>
            <w:rStyle w:val="Hyperlink"/>
          </w:rPr>
          <w:t>And</w:t>
        </w:r>
        <w:proofErr w:type="gramEnd"/>
        <w:r w:rsidRPr="00217709">
          <w:rPr>
            <w:rStyle w:val="Hyperlink"/>
          </w:rPr>
          <w:t xml:space="preserve"> the Award Goes To... School</w:t>
        </w:r>
      </w:hyperlink>
      <w:r w:rsidRPr="00217709">
        <w:t> </w:t>
      </w:r>
      <w:hyperlink r:id="rId13" w:history="1">
        <w:r w:rsidRPr="00217709">
          <w:rPr>
            <w:rStyle w:val="Hyperlink"/>
          </w:rPr>
          <w:t>SLPs for Their Work on Assessing Educational Impact</w:t>
        </w:r>
      </w:hyperlink>
      <w:r w:rsidRPr="00217709">
        <w:t xml:space="preserve"> (ASHA  2017)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4" w:history="1">
        <w:r w:rsidRPr="00217709">
          <w:rPr>
            <w:rStyle w:val="Hyperlink"/>
          </w:rPr>
          <w:t>Consider the Big Picture: Using Classroom Expectations to Guide Assessments and Develop Educat</w:t>
        </w:r>
        <w:r w:rsidRPr="00217709">
          <w:rPr>
            <w:rStyle w:val="Hyperlink"/>
          </w:rPr>
          <w:t>ionally Relevant Interventions</w:t>
        </w:r>
      </w:hyperlink>
      <w:r w:rsidRPr="00217709">
        <w:t> (ASHA 2017)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5" w:history="1">
        <w:r w:rsidRPr="00217709">
          <w:rPr>
            <w:rStyle w:val="Hyperlink"/>
          </w:rPr>
          <w:t xml:space="preserve">Dynamic Assessment: Examining Learning Potential and Reducing Bias in Assessment </w:t>
        </w:r>
      </w:hyperlink>
      <w:r w:rsidRPr="00217709">
        <w:t>(ASHA PPT)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r w:rsidRPr="00217709">
        <w:t>​</w:t>
      </w:r>
      <w:hyperlink r:id="rId16" w:history="1">
        <w:r w:rsidRPr="00217709">
          <w:rPr>
            <w:rStyle w:val="Hyperlink"/>
          </w:rPr>
          <w:t>Evaluation and Eligibility for Speech-Language Services in Schools (SIG 16 Article)</w:t>
        </w:r>
      </w:hyperlink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7" w:history="1">
        <w:r w:rsidRPr="00217709">
          <w:rPr>
            <w:rStyle w:val="Hyperlink"/>
          </w:rPr>
          <w:t>Checklist of Requirements for Determination of SLP Services In Schools</w:t>
        </w:r>
      </w:hyperlink>
      <w:r w:rsidRPr="00217709">
        <w:t xml:space="preserve"> (PDF)</w:t>
      </w:r>
    </w:p>
    <w:p w:rsidR="00000000" w:rsidRPr="00217709" w:rsidRDefault="00817F56" w:rsidP="00217709">
      <w:pPr>
        <w:pStyle w:val="ListParagraph"/>
        <w:numPr>
          <w:ilvl w:val="0"/>
          <w:numId w:val="15"/>
        </w:numPr>
      </w:pPr>
      <w:hyperlink r:id="rId18" w:history="1">
        <w:r w:rsidRPr="00217709">
          <w:rPr>
            <w:rStyle w:val="Hyperlink"/>
          </w:rPr>
          <w:t>Making</w:t>
        </w:r>
        <w:r w:rsidRPr="00217709">
          <w:rPr>
            <w:rStyle w:val="Hyperlink"/>
          </w:rPr>
          <w:t xml:space="preserve"> the Caseload List and Checking it Twice: Evaluation and Eligibility Decision Making in Schools</w:t>
        </w:r>
      </w:hyperlink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>Additional SSD Resources</w:t>
      </w:r>
    </w:p>
    <w:p w:rsidR="00217709" w:rsidRPr="00217709" w:rsidRDefault="00217709" w:rsidP="00217709">
      <w:r w:rsidRPr="00217709">
        <w:t>Articles</w:t>
      </w:r>
    </w:p>
    <w:p w:rsidR="00000000" w:rsidRPr="00217709" w:rsidRDefault="00817F56" w:rsidP="00217709">
      <w:pPr>
        <w:pStyle w:val="ListParagraph"/>
        <w:numPr>
          <w:ilvl w:val="0"/>
          <w:numId w:val="16"/>
        </w:numPr>
      </w:pPr>
      <w:hyperlink r:id="rId19" w:history="1">
        <w:r w:rsidRPr="00217709">
          <w:rPr>
            <w:rStyle w:val="Hyperlink"/>
          </w:rPr>
          <w:t>Standardized Tests and the Diagnosis of Speech Sound Disorders</w:t>
        </w:r>
      </w:hyperlink>
    </w:p>
    <w:p w:rsidR="00000000" w:rsidRPr="00217709" w:rsidRDefault="00817F56" w:rsidP="00217709">
      <w:pPr>
        <w:pStyle w:val="ListParagraph"/>
        <w:numPr>
          <w:ilvl w:val="0"/>
          <w:numId w:val="16"/>
        </w:numPr>
      </w:pPr>
      <w:hyperlink r:id="rId20" w:history="1">
        <w:r w:rsidRPr="00217709">
          <w:rPr>
            <w:rStyle w:val="Hyperlink"/>
          </w:rPr>
          <w:t>Using Developmental Norms for Spe</w:t>
        </w:r>
        <w:r w:rsidRPr="00217709">
          <w:rPr>
            <w:rStyle w:val="Hyperlink"/>
          </w:rPr>
          <w:t>ech Sounds as a Means of Determining Treatment Eligibility in Schools</w:t>
        </w:r>
      </w:hyperlink>
    </w:p>
    <w:p w:rsidR="00000000" w:rsidRPr="00217709" w:rsidRDefault="00817F56" w:rsidP="00217709">
      <w:pPr>
        <w:pStyle w:val="ListParagraph"/>
        <w:numPr>
          <w:ilvl w:val="0"/>
          <w:numId w:val="16"/>
        </w:numPr>
      </w:pPr>
      <w:hyperlink r:id="rId21" w:history="1">
        <w:r w:rsidRPr="00217709">
          <w:rPr>
            <w:rStyle w:val="Hyperlink"/>
          </w:rPr>
          <w:t xml:space="preserve">It Might Not Be “Just Artic”: The Case </w:t>
        </w:r>
        <w:r w:rsidRPr="00217709">
          <w:rPr>
            <w:rStyle w:val="Hyperlink"/>
          </w:rPr>
          <w:t>for the Single Sound Error</w:t>
        </w:r>
      </w:hyperlink>
    </w:p>
    <w:p w:rsidR="00000000" w:rsidRPr="00217709" w:rsidRDefault="00817F56" w:rsidP="00217709">
      <w:pPr>
        <w:pStyle w:val="ListParagraph"/>
        <w:numPr>
          <w:ilvl w:val="0"/>
          <w:numId w:val="16"/>
        </w:numPr>
      </w:pPr>
      <w:hyperlink r:id="rId22" w:history="1">
        <w:r w:rsidRPr="00217709">
          <w:rPr>
            <w:rStyle w:val="Hyperlink"/>
          </w:rPr>
          <w:t>Eligibility and Speech Sound Disorders: Assessment of Social Impact</w:t>
        </w:r>
      </w:hyperlink>
      <w:r w:rsidRPr="00217709">
        <w:t xml:space="preserve"> </w:t>
      </w:r>
    </w:p>
    <w:p w:rsidR="00217709" w:rsidRPr="00217709" w:rsidRDefault="00217709" w:rsidP="00217709">
      <w:r w:rsidRPr="00217709">
        <w:t>Podcasts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hyperlink r:id="rId23" w:history="1">
        <w:r w:rsidRPr="00217709">
          <w:rPr>
            <w:rStyle w:val="Hyperlink"/>
          </w:rPr>
          <w:t>Speech norms, eligibility for speech treatment, and advocacy</w:t>
        </w:r>
      </w:hyperlink>
      <w:r w:rsidRPr="00217709">
        <w:t xml:space="preserve"> </w:t>
      </w:r>
    </w:p>
    <w:p w:rsidR="00217709" w:rsidRDefault="00217709" w:rsidP="00217709"/>
    <w:p w:rsidR="00000000" w:rsidRPr="00217709" w:rsidRDefault="00817F56" w:rsidP="00217709">
      <w:pPr>
        <w:pStyle w:val="Heading3"/>
      </w:pPr>
      <w:r w:rsidRPr="00217709">
        <w:t>References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>American Speech-Language-Hearing Association. (2004).</w:t>
      </w:r>
      <w:r w:rsidRPr="00217709">
        <w:rPr>
          <w:i/>
          <w:iCs/>
        </w:rPr>
        <w:t xml:space="preserve"> </w:t>
      </w:r>
      <w:hyperlink r:id="rId24" w:history="1">
        <w:r w:rsidRPr="00217709">
          <w:rPr>
            <w:rStyle w:val="Hyperlink"/>
            <w:i/>
            <w:iCs/>
          </w:rPr>
          <w:t>Admission/discharge criteria in speech-language pathology</w:t>
        </w:r>
      </w:hyperlink>
      <w:r w:rsidRPr="00217709">
        <w:t xml:space="preserve">. 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 xml:space="preserve">Crowe, </w:t>
      </w:r>
      <w:r w:rsidR="00217709">
        <w:t>K., &amp; McLeod, S. (2020</w:t>
      </w:r>
      <w:r w:rsidRPr="00217709">
        <w:t xml:space="preserve">). </w:t>
      </w:r>
      <w:hyperlink r:id="rId25" w:history="1">
        <w:r w:rsidRPr="002E7549">
          <w:rPr>
            <w:rStyle w:val="Hyperlink"/>
          </w:rPr>
          <w:t>Children’s English consonant acquisition in the United States: A review.</w:t>
        </w:r>
      </w:hyperlink>
      <w:r w:rsidRPr="00217709">
        <w:t xml:space="preserve"> </w:t>
      </w:r>
      <w:r w:rsidRPr="00217709">
        <w:rPr>
          <w:i/>
          <w:iCs/>
        </w:rPr>
        <w:t>American Journal of Speech-Language Pathology</w:t>
      </w:r>
      <w:r w:rsidRPr="00217709">
        <w:t>.</w:t>
      </w:r>
    </w:p>
    <w:p w:rsidR="00217709" w:rsidRDefault="00817F56" w:rsidP="000A5DEB">
      <w:pPr>
        <w:pStyle w:val="ListParagraph"/>
        <w:numPr>
          <w:ilvl w:val="0"/>
          <w:numId w:val="17"/>
        </w:numPr>
      </w:pPr>
      <w:r w:rsidRPr="00217709">
        <w:t xml:space="preserve">Farquharson, K., &amp; </w:t>
      </w:r>
      <w:proofErr w:type="spellStart"/>
      <w:r w:rsidRPr="00217709">
        <w:t>Tambyraja</w:t>
      </w:r>
      <w:proofErr w:type="spellEnd"/>
      <w:r w:rsidRPr="00217709">
        <w:t xml:space="preserve">, S. R. (2019, March). </w:t>
      </w:r>
      <w:hyperlink r:id="rId26" w:history="1">
        <w:r w:rsidRPr="00217709">
          <w:rPr>
            <w:rStyle w:val="Hyperlink"/>
          </w:rPr>
          <w:t>Describi</w:t>
        </w:r>
        <w:r w:rsidRPr="00217709">
          <w:rPr>
            <w:rStyle w:val="Hyperlink"/>
          </w:rPr>
          <w:t xml:space="preserve">ng how school-based SLPs determine eligibility for children with speech sound disorders. </w:t>
        </w:r>
      </w:hyperlink>
      <w:r w:rsidRPr="00217709">
        <w:rPr>
          <w:i/>
          <w:iCs/>
        </w:rPr>
        <w:t>Seminars in Speech and Language</w:t>
      </w:r>
      <w:r w:rsidRPr="00217709">
        <w:t xml:space="preserve">, </w:t>
      </w:r>
      <w:r w:rsidRPr="00217709">
        <w:rPr>
          <w:i/>
          <w:iCs/>
        </w:rPr>
        <w:t>40</w:t>
      </w:r>
      <w:r w:rsidRPr="00217709">
        <w:t xml:space="preserve">(2), 105-112. </w:t>
      </w:r>
    </w:p>
    <w:p w:rsidR="00000000" w:rsidRPr="00217709" w:rsidRDefault="00817F56" w:rsidP="000A5DEB">
      <w:pPr>
        <w:pStyle w:val="ListParagraph"/>
        <w:numPr>
          <w:ilvl w:val="0"/>
          <w:numId w:val="17"/>
        </w:numPr>
      </w:pPr>
      <w:r w:rsidRPr="00217709">
        <w:t>Individuals with Disabilities Education Improvement Act of 2004, Pub. L. No. 108-446, § 118 Stat. 2647 (2004).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>Ireland, M</w:t>
      </w:r>
      <w:r w:rsidRPr="00217709">
        <w:t xml:space="preserve">., &amp; Conrad, B. J. (2016). </w:t>
      </w:r>
      <w:hyperlink r:id="rId27" w:history="1">
        <w:r w:rsidRPr="002E7549">
          <w:rPr>
            <w:rStyle w:val="Hyperlink"/>
          </w:rPr>
          <w:t>Evaluation and eligibility for speech-language services in schools.</w:t>
        </w:r>
      </w:hyperlink>
      <w:r w:rsidRPr="00217709">
        <w:t xml:space="preserve"> </w:t>
      </w:r>
      <w:r w:rsidRPr="00217709">
        <w:rPr>
          <w:i/>
          <w:iCs/>
        </w:rPr>
        <w:t>Perspectives of the ASHA Special Interest Groups, 1</w:t>
      </w:r>
      <w:r w:rsidRPr="00217709">
        <w:t xml:space="preserve">(16), 78-90. https://doi.org/doi:10.1044/persp1.SIG16.78 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>Ireland, McLeod, Farquharson, Crowe (2020 in press) Evaluating Children in U.S. Public Schools with Speech So</w:t>
      </w:r>
      <w:r w:rsidRPr="00217709">
        <w:t>und Disorders: Considering Federal and State Laws, Guidance, and Research, Topics in Language Disorders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>Johnson, C., Weston, A, Bain, B. (2004) An Objective and Time-Efficient Method for Det</w:t>
      </w:r>
      <w:r w:rsidRPr="00217709">
        <w:t xml:space="preserve">ermining Severity of Childhood Speech Delay </w:t>
      </w:r>
      <w:r w:rsidRPr="00217709">
        <w:rPr>
          <w:u w:val="single"/>
        </w:rPr>
        <w:t>American Journal of Speech-Language Pathology</w:t>
      </w:r>
      <w:r w:rsidRPr="00217709">
        <w:t xml:space="preserve"> • Vol. 13. 55–65 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lastRenderedPageBreak/>
        <w:t xml:space="preserve">Krueger, B. I. (2019). Eligibility and speech sound disorders: Assessment of social impact. </w:t>
      </w:r>
      <w:r w:rsidRPr="00217709">
        <w:rPr>
          <w:i/>
          <w:iCs/>
        </w:rPr>
        <w:t>Perspectives of the ASHA Special Interest Groups,</w:t>
      </w:r>
      <w:r w:rsidRPr="00217709">
        <w:rPr>
          <w:i/>
          <w:iCs/>
        </w:rPr>
        <w:t xml:space="preserve"> 4</w:t>
      </w:r>
      <w:r w:rsidRPr="00217709">
        <w:t xml:space="preserve">(1), 85-90. https://doi.org/10.1044/2018_PERS-SIG1-2018-0016 </w:t>
      </w:r>
    </w:p>
    <w:p w:rsidR="00000000" w:rsidRPr="00217709" w:rsidRDefault="00817F56" w:rsidP="00BF447E">
      <w:pPr>
        <w:pStyle w:val="ListParagraph"/>
        <w:numPr>
          <w:ilvl w:val="0"/>
          <w:numId w:val="17"/>
        </w:numPr>
      </w:pPr>
      <w:r w:rsidRPr="00217709">
        <w:t xml:space="preserve">McLeod, S., Harrison, L. J., &amp; McCormack, J. (2012). </w:t>
      </w:r>
      <w:hyperlink r:id="rId28" w:history="1">
        <w:r w:rsidRPr="00217709">
          <w:rPr>
            <w:rStyle w:val="Hyperlink"/>
          </w:rPr>
          <w:t>Intel</w:t>
        </w:r>
        <w:r w:rsidRPr="00217709">
          <w:rPr>
            <w:rStyle w:val="Hyperlink"/>
          </w:rPr>
          <w:t>ligibility in Context Scale: Validity and reliability of a subjective rating measure</w:t>
        </w:r>
      </w:hyperlink>
      <w:r w:rsidRPr="00217709">
        <w:t xml:space="preserve">. </w:t>
      </w:r>
      <w:r w:rsidRPr="00217709">
        <w:rPr>
          <w:i/>
          <w:iCs/>
        </w:rPr>
        <w:t>Journal of Speech, Language, and Hearing Research, 55</w:t>
      </w:r>
      <w:r w:rsidRPr="00217709">
        <w:t xml:space="preserve">, 648-656. </w:t>
      </w:r>
      <w:proofErr w:type="spellStart"/>
      <w:r w:rsidRPr="00217709">
        <w:t>Miccio</w:t>
      </w:r>
      <w:proofErr w:type="spellEnd"/>
      <w:r w:rsidRPr="00217709">
        <w:t>, A. W. (2002). Clinical prob</w:t>
      </w:r>
      <w:r w:rsidRPr="00217709">
        <w:t xml:space="preserve">lem solving: Assessment of phonological disorders. </w:t>
      </w:r>
      <w:r w:rsidRPr="00217709">
        <w:rPr>
          <w:i/>
          <w:iCs/>
        </w:rPr>
        <w:t>American Journal of Speech-Language Pathology, 11</w:t>
      </w:r>
      <w:r w:rsidRPr="00217709">
        <w:t xml:space="preserve">(3), 221-229. </w:t>
      </w:r>
    </w:p>
    <w:p w:rsidR="00000000" w:rsidRPr="00217709" w:rsidRDefault="00817F56" w:rsidP="00217709">
      <w:pPr>
        <w:pStyle w:val="ListParagraph"/>
        <w:numPr>
          <w:ilvl w:val="0"/>
          <w:numId w:val="17"/>
        </w:numPr>
      </w:pPr>
      <w:r w:rsidRPr="00217709">
        <w:t xml:space="preserve">State Education Agencies Communication Disabilities Council (SEACDC, 2016). </w:t>
      </w:r>
      <w:hyperlink r:id="rId29" w:history="1">
        <w:r w:rsidRPr="00217709">
          <w:rPr>
            <w:rStyle w:val="Hyperlink"/>
            <w:i/>
            <w:iCs/>
          </w:rPr>
          <w:t>Checklist of requirements for determination of SLP services in schools</w:t>
        </w:r>
      </w:hyperlink>
      <w:r w:rsidRPr="00217709">
        <w:t xml:space="preserve">. </w:t>
      </w:r>
    </w:p>
    <w:p w:rsidR="00000000" w:rsidRPr="00217709" w:rsidRDefault="00817F56" w:rsidP="0021068C">
      <w:pPr>
        <w:pStyle w:val="ListParagraph"/>
        <w:numPr>
          <w:ilvl w:val="0"/>
          <w:numId w:val="17"/>
        </w:numPr>
      </w:pPr>
      <w:r w:rsidRPr="00217709">
        <w:t xml:space="preserve">The Informed SLP. (2018, December 30). </w:t>
      </w:r>
      <w:hyperlink r:id="rId30" w:history="1">
        <w:r w:rsidRPr="00217709">
          <w:rPr>
            <w:rStyle w:val="Hyperlink"/>
            <w:i/>
            <w:iCs/>
          </w:rPr>
          <w:t>That one time a journal article on speech sounds broke the SLP internet</w:t>
        </w:r>
      </w:hyperlink>
      <w:r w:rsidRPr="00217709">
        <w:t xml:space="preserve"> [Blog post]. </w:t>
      </w:r>
      <w:r w:rsidRPr="00217709">
        <w:t xml:space="preserve">U.S. Department of Education. (2016). </w:t>
      </w:r>
      <w:hyperlink r:id="rId31" w:history="1">
        <w:r w:rsidRPr="00217709">
          <w:rPr>
            <w:rStyle w:val="Hyperlink"/>
            <w:i/>
            <w:iCs/>
          </w:rPr>
          <w:t>Dear colleague letter: Preventing racial discrimination in special education</w:t>
        </w:r>
      </w:hyperlink>
      <w:r w:rsidRPr="00217709">
        <w:t xml:space="preserve">. </w:t>
      </w:r>
    </w:p>
    <w:p w:rsidR="003341D3" w:rsidRPr="00217709" w:rsidRDefault="003341D3" w:rsidP="00217709"/>
    <w:sectPr w:rsidR="003341D3" w:rsidRPr="0021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1C4"/>
    <w:multiLevelType w:val="hybridMultilevel"/>
    <w:tmpl w:val="98CE8AAC"/>
    <w:lvl w:ilvl="0" w:tplc="6408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AF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E7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AA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0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2E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0D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C4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A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AB59F7"/>
    <w:multiLevelType w:val="hybridMultilevel"/>
    <w:tmpl w:val="4732ACC6"/>
    <w:lvl w:ilvl="0" w:tplc="AEFEE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E59B8">
      <w:start w:val="3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E8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C8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0E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42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06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22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A4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0496D"/>
    <w:multiLevelType w:val="hybridMultilevel"/>
    <w:tmpl w:val="539A9448"/>
    <w:lvl w:ilvl="0" w:tplc="28803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84A96">
      <w:start w:val="3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2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9AF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9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5C3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E0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2E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2D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9037E2"/>
    <w:multiLevelType w:val="hybridMultilevel"/>
    <w:tmpl w:val="29DAE596"/>
    <w:lvl w:ilvl="0" w:tplc="45F41A68">
      <w:start w:val="1"/>
      <w:numFmt w:val="bullet"/>
      <w:lvlText w:val="✘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4F5869C6">
      <w:start w:val="30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0462" w:tentative="1">
      <w:start w:val="1"/>
      <w:numFmt w:val="bullet"/>
      <w:lvlText w:val="✘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5C2B32E" w:tentative="1">
      <w:start w:val="1"/>
      <w:numFmt w:val="bullet"/>
      <w:lvlText w:val="✘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7CF2AF18" w:tentative="1">
      <w:start w:val="1"/>
      <w:numFmt w:val="bullet"/>
      <w:lvlText w:val="✘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E22AAF8" w:tentative="1">
      <w:start w:val="1"/>
      <w:numFmt w:val="bullet"/>
      <w:lvlText w:val="✘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660ABA0" w:tentative="1">
      <w:start w:val="1"/>
      <w:numFmt w:val="bullet"/>
      <w:lvlText w:val="✘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EA05C7A" w:tentative="1">
      <w:start w:val="1"/>
      <w:numFmt w:val="bullet"/>
      <w:lvlText w:val="✘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6949AC6" w:tentative="1">
      <w:start w:val="1"/>
      <w:numFmt w:val="bullet"/>
      <w:lvlText w:val="✘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1A7E7BD4"/>
    <w:multiLevelType w:val="hybridMultilevel"/>
    <w:tmpl w:val="AC362608"/>
    <w:lvl w:ilvl="0" w:tplc="50C29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00B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80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28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6F6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A66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2A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62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01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06F93"/>
    <w:multiLevelType w:val="hybridMultilevel"/>
    <w:tmpl w:val="6F4C3C0C"/>
    <w:lvl w:ilvl="0" w:tplc="23C0E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0A3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6D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86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F03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C4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64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64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2A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2C594C"/>
    <w:multiLevelType w:val="hybridMultilevel"/>
    <w:tmpl w:val="E62A5F04"/>
    <w:lvl w:ilvl="0" w:tplc="ABE4D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E7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AD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2E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0F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03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F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69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C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8216DF"/>
    <w:multiLevelType w:val="hybridMultilevel"/>
    <w:tmpl w:val="36B050F2"/>
    <w:lvl w:ilvl="0" w:tplc="E2A6B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5EE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22D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A1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01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C6E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90A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65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6C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A59C0"/>
    <w:multiLevelType w:val="hybridMultilevel"/>
    <w:tmpl w:val="BC080DD2"/>
    <w:lvl w:ilvl="0" w:tplc="A9FCD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46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E7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66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E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0A5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A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A2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8E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D34528"/>
    <w:multiLevelType w:val="hybridMultilevel"/>
    <w:tmpl w:val="86828CFE"/>
    <w:lvl w:ilvl="0" w:tplc="87F42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B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A2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C9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AC1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82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AE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2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E7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9C1071"/>
    <w:multiLevelType w:val="hybridMultilevel"/>
    <w:tmpl w:val="05C4B0B8"/>
    <w:lvl w:ilvl="0" w:tplc="12EAE3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21A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254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6DC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611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669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65E5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A4A2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4D6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0958D1"/>
    <w:multiLevelType w:val="hybridMultilevel"/>
    <w:tmpl w:val="061CC0E2"/>
    <w:lvl w:ilvl="0" w:tplc="59B61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8F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2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DE1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CB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2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6C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0E8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25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837C81"/>
    <w:multiLevelType w:val="hybridMultilevel"/>
    <w:tmpl w:val="8BF49E26"/>
    <w:lvl w:ilvl="0" w:tplc="A46E83B2">
      <w:start w:val="1"/>
      <w:numFmt w:val="bullet"/>
      <w:lvlText w:val="☞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2E41B6E" w:tentative="1">
      <w:start w:val="1"/>
      <w:numFmt w:val="bullet"/>
      <w:lvlText w:val="☞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B858B51E" w:tentative="1">
      <w:start w:val="1"/>
      <w:numFmt w:val="bullet"/>
      <w:lvlText w:val="☞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2B258E6" w:tentative="1">
      <w:start w:val="1"/>
      <w:numFmt w:val="bullet"/>
      <w:lvlText w:val="☞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D4AA770" w:tentative="1">
      <w:start w:val="1"/>
      <w:numFmt w:val="bullet"/>
      <w:lvlText w:val="☞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25209B0" w:tentative="1">
      <w:start w:val="1"/>
      <w:numFmt w:val="bullet"/>
      <w:lvlText w:val="☞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854530E" w:tentative="1">
      <w:start w:val="1"/>
      <w:numFmt w:val="bullet"/>
      <w:lvlText w:val="☞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A5E82480" w:tentative="1">
      <w:start w:val="1"/>
      <w:numFmt w:val="bullet"/>
      <w:lvlText w:val="☞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15EAA64" w:tentative="1">
      <w:start w:val="1"/>
      <w:numFmt w:val="bullet"/>
      <w:lvlText w:val="☞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3" w15:restartNumberingAfterBreak="0">
    <w:nsid w:val="5F3F3957"/>
    <w:multiLevelType w:val="hybridMultilevel"/>
    <w:tmpl w:val="1FAED8B4"/>
    <w:lvl w:ilvl="0" w:tplc="2CD8E37A">
      <w:start w:val="1"/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0D623E6" w:tentative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A4E2690" w:tentative="1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42E95C8" w:tentative="1">
      <w:start w:val="1"/>
      <w:numFmt w:val="bullet"/>
      <w:lvlText w:val="✓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922898FA" w:tentative="1">
      <w:start w:val="1"/>
      <w:numFmt w:val="bullet"/>
      <w:lvlText w:val="✓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2F702704" w:tentative="1">
      <w:start w:val="1"/>
      <w:numFmt w:val="bullet"/>
      <w:lvlText w:val="✓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44BC5C94" w:tentative="1">
      <w:start w:val="1"/>
      <w:numFmt w:val="bullet"/>
      <w:lvlText w:val="✓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FD012AE" w:tentative="1">
      <w:start w:val="1"/>
      <w:numFmt w:val="bullet"/>
      <w:lvlText w:val="✓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24E833A" w:tentative="1">
      <w:start w:val="1"/>
      <w:numFmt w:val="bullet"/>
      <w:lvlText w:val="✓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4" w15:restartNumberingAfterBreak="0">
    <w:nsid w:val="5F697B1D"/>
    <w:multiLevelType w:val="hybridMultilevel"/>
    <w:tmpl w:val="D0C492FE"/>
    <w:lvl w:ilvl="0" w:tplc="982EA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A2E22">
      <w:start w:val="3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2B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6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C4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C0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E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8C5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A0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AF14DF"/>
    <w:multiLevelType w:val="hybridMultilevel"/>
    <w:tmpl w:val="E9A04CD0"/>
    <w:lvl w:ilvl="0" w:tplc="4AC25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0460">
      <w:start w:val="3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A0683E">
      <w:start w:val="3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8ED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2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65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CCC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E7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EB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085F5F"/>
    <w:multiLevelType w:val="hybridMultilevel"/>
    <w:tmpl w:val="212E51E8"/>
    <w:lvl w:ilvl="0" w:tplc="B91015E6">
      <w:start w:val="1"/>
      <w:numFmt w:val="bullet"/>
      <w:lvlText w:val="✓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7750972C" w:tentative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FE4AE532" w:tentative="1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49A6C7F8" w:tentative="1">
      <w:start w:val="1"/>
      <w:numFmt w:val="bullet"/>
      <w:lvlText w:val="✓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0EAE9C7E" w:tentative="1">
      <w:start w:val="1"/>
      <w:numFmt w:val="bullet"/>
      <w:lvlText w:val="✓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39CCC560" w:tentative="1">
      <w:start w:val="1"/>
      <w:numFmt w:val="bullet"/>
      <w:lvlText w:val="✓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ABB6CF0C" w:tentative="1">
      <w:start w:val="1"/>
      <w:numFmt w:val="bullet"/>
      <w:lvlText w:val="✓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9108668E" w:tentative="1">
      <w:start w:val="1"/>
      <w:numFmt w:val="bullet"/>
      <w:lvlText w:val="✓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C7E2E538" w:tentative="1">
      <w:start w:val="1"/>
      <w:numFmt w:val="bullet"/>
      <w:lvlText w:val="✓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15"/>
  </w:num>
  <w:num w:numId="9">
    <w:abstractNumId w:val="16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D3"/>
    <w:rsid w:val="00217709"/>
    <w:rsid w:val="002E7549"/>
    <w:rsid w:val="00320210"/>
    <w:rsid w:val="003341D3"/>
    <w:rsid w:val="00817F56"/>
    <w:rsid w:val="00F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F785"/>
  <w15:chartTrackingRefBased/>
  <w15:docId w15:val="{36EDCD82-5EC7-4E27-8DCA-F0169A9D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709"/>
    <w:pPr>
      <w:spacing w:after="0" w:line="240" w:lineRule="auto"/>
    </w:pPr>
    <w:rPr>
      <w:rFonts w:asciiTheme="majorHAnsi" w:hAnsiTheme="majorHAnsi" w:cs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21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709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7709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2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41D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7709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7709"/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1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84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90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7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4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8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494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88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19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38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94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6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9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7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5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94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92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4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076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886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6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31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904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972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082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9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877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113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781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655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585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924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323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74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46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69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790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849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050">
          <w:marLeft w:val="1166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608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755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311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576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142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5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26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06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89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752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93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99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3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858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80">
          <w:marLeft w:val="116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997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69940">
          <w:marLeft w:val="116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93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3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1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1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1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3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5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234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01">
          <w:marLeft w:val="116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889">
          <w:marLeft w:val="116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046">
          <w:marLeft w:val="116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6053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91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180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615">
          <w:marLeft w:val="547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613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606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331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38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035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580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75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4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4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67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65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84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85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201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504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814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761">
          <w:marLeft w:val="1166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57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737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255">
          <w:marLeft w:val="180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941">
          <w:marLeft w:val="90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8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853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310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261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547">
          <w:marLeft w:val="1166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36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40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8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11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489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504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086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392">
          <w:marLeft w:val="547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3628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32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792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8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313">
          <w:marLeft w:val="80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94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55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34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63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2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19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7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30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64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4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2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45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37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5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9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78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98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85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93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1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35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33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77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33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6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0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67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86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52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95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21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2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00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0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44/1092-4388(2011/10-0130)" TargetMode="External"/><Relationship Id="rId13" Type="http://schemas.openxmlformats.org/officeDocument/2006/relationships/hyperlink" Target="http://seacdc.org/uploads/3/5/3/6/35363928/2017_and_the_award_goes_to_.pptx" TargetMode="External"/><Relationship Id="rId18" Type="http://schemas.openxmlformats.org/officeDocument/2006/relationships/hyperlink" Target="http://seacdc.org/uploads/3/5/3/6/35363928/2016_asha_educational_vs_medical.pdf" TargetMode="External"/><Relationship Id="rId26" Type="http://schemas.openxmlformats.org/officeDocument/2006/relationships/hyperlink" Target="file:///C:\Users\tep38543\Desktop\&#8226;%09https:\doi.org\10.1055\s-0039-16777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44/2018_PERS-SIG1-2018-0019" TargetMode="External"/><Relationship Id="rId7" Type="http://schemas.openxmlformats.org/officeDocument/2006/relationships/hyperlink" Target="https://www.csu.edu.au/research/multilingual-speech/ics" TargetMode="External"/><Relationship Id="rId12" Type="http://schemas.openxmlformats.org/officeDocument/2006/relationships/hyperlink" Target="http://seacdc.org/uploads/3/5/3/6/35363928/2017_and_the_award_goes_to_.pptx" TargetMode="External"/><Relationship Id="rId17" Type="http://schemas.openxmlformats.org/officeDocument/2006/relationships/hyperlink" Target="http://seacdc.org/uploads/3/5/3/6/35363928/regulation-guidance-decision-making-2016.pdf" TargetMode="External"/><Relationship Id="rId25" Type="http://schemas.openxmlformats.org/officeDocument/2006/relationships/hyperlink" Target="https://pubs.asha.org/doi/10.1044/2020_AJSLP-19-0016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erspectives.pubs.asha.org/article.aspx?articleid=2595559&amp;resultClick=1" TargetMode="External"/><Relationship Id="rId20" Type="http://schemas.openxmlformats.org/officeDocument/2006/relationships/hyperlink" Target="https://doi.org/10.1044/2018_PERS-SIG1-2018-0014" TargetMode="External"/><Relationship Id="rId29" Type="http://schemas.openxmlformats.org/officeDocument/2006/relationships/hyperlink" Target="http://seacdc.org/uploads/3/5/3/6/35363928/regulation-guidance-decision-making-201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s.asha.org/doi/10.1044/2020_AJSLP-19-00168" TargetMode="External"/><Relationship Id="rId11" Type="http://schemas.openxmlformats.org/officeDocument/2006/relationships/hyperlink" Target="http://seacdc.org/uploads/3/5/3/6/35363928/2019_funding_and_advocacy.pptx" TargetMode="External"/><Relationship Id="rId24" Type="http://schemas.openxmlformats.org/officeDocument/2006/relationships/hyperlink" Target="file:///C:\Users\tep38543\Desktop\www.asha.org\policy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doe.virginia.gov/special_ed/disabilities/speech_language_impairment/professional-development/index.shtml" TargetMode="External"/><Relationship Id="rId15" Type="http://schemas.openxmlformats.org/officeDocument/2006/relationships/hyperlink" Target="http://seacdc.org/uploads/3/5/3/6/35363928/asha_2017_dynamic_assessment_no_video.pptx" TargetMode="External"/><Relationship Id="rId23" Type="http://schemas.openxmlformats.org/officeDocument/2006/relationships/hyperlink" Target="https://itunes.apple.com/us/podcast/seehearspeak-podcast/id1440635512?mt=2" TargetMode="External"/><Relationship Id="rId28" Type="http://schemas.openxmlformats.org/officeDocument/2006/relationships/hyperlink" Target="file:///C:\Users\tep38543\Desktop\&#8226;%09https:\doi.org\10.1044\1092-4388(2011\10-0130)" TargetMode="External"/><Relationship Id="rId10" Type="http://schemas.openxmlformats.org/officeDocument/2006/relationships/hyperlink" Target="http://seacdc.org/uploads/3/5/3/6/35363928/poster-2019-seacdc.pdf" TargetMode="External"/><Relationship Id="rId19" Type="http://schemas.openxmlformats.org/officeDocument/2006/relationships/hyperlink" Target="https://doi.org/10.1044/2018_PERS-SIG1-2018-0018" TargetMode="External"/><Relationship Id="rId31" Type="http://schemas.openxmlformats.org/officeDocument/2006/relationships/hyperlink" Target="https://www2.ed.gov/about/offices/list/ocr/letters/colleague-201612-racedisc-special-educ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cdc.org/uploads/3/5/3/6/35363928/2019-asha-orlando-__3_.pdf" TargetMode="External"/><Relationship Id="rId14" Type="http://schemas.openxmlformats.org/officeDocument/2006/relationships/hyperlink" Target="http://seacdc.org/uploads/3/5/3/6/35363928/2017_ireland_chinen.pptx" TargetMode="External"/><Relationship Id="rId22" Type="http://schemas.openxmlformats.org/officeDocument/2006/relationships/hyperlink" Target="https://doi.org/10.1044/2018_PERS-SIG1-2018-0016" TargetMode="External"/><Relationship Id="rId27" Type="http://schemas.openxmlformats.org/officeDocument/2006/relationships/hyperlink" Target="http://perspectives.pubs.asha.org/article.aspx?articleid=2595559&amp;resultClick=1" TargetMode="External"/><Relationship Id="rId30" Type="http://schemas.openxmlformats.org/officeDocument/2006/relationships/hyperlink" Target="https://www.theinformedslp.com/how-to/that-one-time-a-journal-article-on-speech-sound-norms-broke-the-slp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2020-08-18T14:56:00Z</dcterms:created>
  <dcterms:modified xsi:type="dcterms:W3CDTF">2020-08-18T14:56:00Z</dcterms:modified>
</cp:coreProperties>
</file>