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bookmarkStart w:id="0" w:name="_GoBack"/>
      <w:bookmarkEnd w:id="0"/>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03588E">
        <w:t>Orange County Public Schools</w:t>
      </w:r>
    </w:p>
    <w:p w:rsidR="00E63DC5" w:rsidRDefault="00E63DC5" w:rsidP="00E63DC5">
      <w:pPr>
        <w:pStyle w:val="NormalTNR"/>
      </w:pPr>
      <w:r w:rsidRPr="008B62AA">
        <w:rPr>
          <w:b/>
        </w:rPr>
        <w:t>Report Publication Date:</w:t>
      </w:r>
      <w:r>
        <w:t xml:space="preserve"> </w:t>
      </w:r>
      <w:r w:rsidR="0003588E">
        <w:t>April 6, 2018</w:t>
      </w:r>
    </w:p>
    <w:p w:rsidR="00E63DC5" w:rsidRDefault="00E63DC5" w:rsidP="00E63DC5">
      <w:pPr>
        <w:pStyle w:val="NormalTNR"/>
      </w:pPr>
      <w:r w:rsidRPr="008B62AA">
        <w:rPr>
          <w:b/>
        </w:rPr>
        <w:t>Administrative Review Dates:</w:t>
      </w:r>
      <w:r>
        <w:t xml:space="preserve"> </w:t>
      </w:r>
      <w:r w:rsidR="0003588E">
        <w:t>February 20-22, 2018</w:t>
      </w:r>
    </w:p>
    <w:p w:rsidR="00E63DC5" w:rsidRDefault="00E63DC5" w:rsidP="00E63DC5">
      <w:pPr>
        <w:pStyle w:val="NormalTNR"/>
      </w:pPr>
      <w:r w:rsidRPr="008B62AA">
        <w:rPr>
          <w:b/>
        </w:rPr>
        <w:t>Review Month and Year:</w:t>
      </w:r>
      <w:r>
        <w:t xml:space="preserve"> </w:t>
      </w:r>
      <w:r w:rsidR="0003588E">
        <w:t>January 2018</w:t>
      </w:r>
    </w:p>
    <w:p w:rsidR="00E63DC5" w:rsidRDefault="00E63DC5" w:rsidP="00E63DC5">
      <w:pPr>
        <w:pStyle w:val="NormalTNR"/>
      </w:pPr>
      <w:r w:rsidRPr="008B62AA">
        <w:rPr>
          <w:b/>
        </w:rPr>
        <w:t>Participating Programs:</w:t>
      </w:r>
      <w:r>
        <w:t xml:space="preserve"> </w:t>
      </w:r>
      <w:r w:rsidR="0003588E">
        <w:t>SBP, NSLP, ASP</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03588E">
        <w:t>CEP</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0029F1">
        <w:rPr>
          <w:sz w:val="28"/>
        </w:rPr>
        <w:t>January 2018:</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03588E" w:rsidP="007B68D3">
            <w:pPr>
              <w:pStyle w:val="NormalTNR"/>
              <w:spacing w:after="0"/>
              <w:rPr>
                <w:lang w:eastAsia="ja-JP"/>
              </w:rPr>
            </w:pPr>
            <w:r>
              <w:rPr>
                <w:lang w:eastAsia="ja-JP"/>
              </w:rPr>
              <w:t>1,924</w:t>
            </w:r>
          </w:p>
        </w:tc>
        <w:tc>
          <w:tcPr>
            <w:tcW w:w="1563" w:type="dxa"/>
            <w:shd w:val="clear" w:color="auto" w:fill="auto"/>
            <w:vAlign w:val="center"/>
          </w:tcPr>
          <w:p w:rsidR="006C3986" w:rsidRPr="00690A00" w:rsidRDefault="0003588E" w:rsidP="007B68D3">
            <w:pPr>
              <w:pStyle w:val="NormalTNR"/>
              <w:spacing w:after="0"/>
              <w:rPr>
                <w:lang w:eastAsia="ja-JP"/>
              </w:rPr>
            </w:pPr>
            <w:r>
              <w:rPr>
                <w:lang w:eastAsia="ja-JP"/>
              </w:rPr>
              <w:t>1,344</w:t>
            </w:r>
          </w:p>
        </w:tc>
        <w:tc>
          <w:tcPr>
            <w:tcW w:w="1027" w:type="dxa"/>
            <w:shd w:val="clear" w:color="auto" w:fill="auto"/>
            <w:vAlign w:val="center"/>
          </w:tcPr>
          <w:p w:rsidR="006C3986" w:rsidRPr="00690A00" w:rsidRDefault="0003588E" w:rsidP="007B68D3">
            <w:pPr>
              <w:pStyle w:val="NormalTNR"/>
              <w:spacing w:after="0"/>
              <w:rPr>
                <w:lang w:eastAsia="ja-JP"/>
              </w:rPr>
            </w:pPr>
            <w:r>
              <w:rPr>
                <w:lang w:eastAsia="ja-JP"/>
              </w:rPr>
              <w:t>56.05</w:t>
            </w:r>
          </w:p>
        </w:tc>
        <w:tc>
          <w:tcPr>
            <w:tcW w:w="1249" w:type="dxa"/>
            <w:shd w:val="clear" w:color="auto" w:fill="auto"/>
            <w:vAlign w:val="center"/>
          </w:tcPr>
          <w:p w:rsidR="006C3986" w:rsidRPr="00690A00" w:rsidRDefault="0003588E" w:rsidP="007B68D3">
            <w:pPr>
              <w:pStyle w:val="NormalTNR"/>
              <w:spacing w:after="0"/>
              <w:rPr>
                <w:lang w:eastAsia="ja-JP"/>
              </w:rPr>
            </w:pPr>
            <w:r>
              <w:rPr>
                <w:lang w:eastAsia="ja-JP"/>
              </w:rPr>
              <w:t>758</w:t>
            </w:r>
          </w:p>
        </w:tc>
        <w:tc>
          <w:tcPr>
            <w:tcW w:w="1216" w:type="dxa"/>
            <w:shd w:val="clear" w:color="auto" w:fill="auto"/>
            <w:vAlign w:val="center"/>
          </w:tcPr>
          <w:p w:rsidR="006C3986" w:rsidRPr="00690A00" w:rsidRDefault="0003588E" w:rsidP="007B68D3">
            <w:pPr>
              <w:pStyle w:val="NormalTNR"/>
              <w:spacing w:after="0"/>
              <w:rPr>
                <w:lang w:eastAsia="ja-JP"/>
              </w:rPr>
            </w:pPr>
            <w:r>
              <w:rPr>
                <w:lang w:eastAsia="ja-JP"/>
              </w:rPr>
              <w:t>70.45</w:t>
            </w:r>
          </w:p>
        </w:tc>
        <w:tc>
          <w:tcPr>
            <w:tcW w:w="1860" w:type="dxa"/>
            <w:shd w:val="clear" w:color="auto" w:fill="auto"/>
            <w:vAlign w:val="center"/>
          </w:tcPr>
          <w:p w:rsidR="006C3986" w:rsidRPr="00690A00" w:rsidRDefault="0003588E" w:rsidP="007B68D3">
            <w:pPr>
              <w:pStyle w:val="NormalTNR"/>
              <w:spacing w:after="0"/>
              <w:rPr>
                <w:lang w:eastAsia="ja-JP"/>
              </w:rPr>
            </w:pPr>
            <w:r>
              <w:rPr>
                <w:lang w:eastAsia="ja-JP"/>
              </w:rPr>
              <w:t>117,988.41</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03588E" w:rsidP="007B68D3">
            <w:pPr>
              <w:pStyle w:val="NormalTNR"/>
              <w:spacing w:after="0"/>
              <w:rPr>
                <w:lang w:eastAsia="ja-JP"/>
              </w:rPr>
            </w:pPr>
            <w:r>
              <w:rPr>
                <w:lang w:eastAsia="ja-JP"/>
              </w:rPr>
              <w:t>332</w:t>
            </w:r>
          </w:p>
        </w:tc>
        <w:tc>
          <w:tcPr>
            <w:tcW w:w="1563" w:type="dxa"/>
            <w:shd w:val="clear" w:color="auto" w:fill="auto"/>
            <w:vAlign w:val="center"/>
          </w:tcPr>
          <w:p w:rsidR="006C3986" w:rsidRPr="00690A00" w:rsidRDefault="0003588E" w:rsidP="007B68D3">
            <w:pPr>
              <w:pStyle w:val="NormalTNR"/>
              <w:spacing w:after="0"/>
              <w:rPr>
                <w:lang w:eastAsia="ja-JP"/>
              </w:rPr>
            </w:pPr>
            <w:r>
              <w:rPr>
                <w:lang w:eastAsia="ja-JP"/>
              </w:rPr>
              <w:t>209</w:t>
            </w:r>
          </w:p>
        </w:tc>
        <w:tc>
          <w:tcPr>
            <w:tcW w:w="1027" w:type="dxa"/>
            <w:shd w:val="clear" w:color="auto" w:fill="auto"/>
            <w:vAlign w:val="center"/>
          </w:tcPr>
          <w:p w:rsidR="006C3986" w:rsidRPr="00690A00" w:rsidRDefault="0003588E" w:rsidP="007B68D3">
            <w:pPr>
              <w:pStyle w:val="NormalTNR"/>
              <w:spacing w:after="0"/>
              <w:rPr>
                <w:lang w:eastAsia="ja-JP"/>
              </w:rPr>
            </w:pPr>
            <w:r>
              <w:rPr>
                <w:lang w:eastAsia="ja-JP"/>
              </w:rPr>
              <w:t>8.72</w:t>
            </w:r>
          </w:p>
        </w:tc>
        <w:tc>
          <w:tcPr>
            <w:tcW w:w="1249" w:type="dxa"/>
            <w:shd w:val="clear" w:color="auto" w:fill="auto"/>
            <w:vAlign w:val="center"/>
          </w:tcPr>
          <w:p w:rsidR="006C3986" w:rsidRPr="00690A00" w:rsidRDefault="0003588E" w:rsidP="007B68D3">
            <w:pPr>
              <w:pStyle w:val="NormalTNR"/>
              <w:spacing w:after="0"/>
              <w:rPr>
                <w:lang w:eastAsia="ja-JP"/>
              </w:rPr>
            </w:pPr>
            <w:r>
              <w:rPr>
                <w:lang w:eastAsia="ja-JP"/>
              </w:rPr>
              <w:t>91</w:t>
            </w:r>
          </w:p>
        </w:tc>
        <w:tc>
          <w:tcPr>
            <w:tcW w:w="1216" w:type="dxa"/>
            <w:shd w:val="clear" w:color="auto" w:fill="auto"/>
            <w:vAlign w:val="center"/>
          </w:tcPr>
          <w:p w:rsidR="006C3986" w:rsidRPr="00690A00" w:rsidRDefault="0003588E" w:rsidP="007B68D3">
            <w:pPr>
              <w:pStyle w:val="NormalTNR"/>
              <w:spacing w:after="0"/>
              <w:rPr>
                <w:lang w:eastAsia="ja-JP"/>
              </w:rPr>
            </w:pPr>
            <w:r>
              <w:rPr>
                <w:lang w:eastAsia="ja-JP"/>
              </w:rPr>
              <w:t>8.46</w:t>
            </w:r>
          </w:p>
        </w:tc>
        <w:tc>
          <w:tcPr>
            <w:tcW w:w="1860" w:type="dxa"/>
            <w:shd w:val="clear" w:color="auto" w:fill="auto"/>
            <w:vAlign w:val="center"/>
          </w:tcPr>
          <w:p w:rsidR="006C3986" w:rsidRPr="00690A00" w:rsidRDefault="0003588E" w:rsidP="007B68D3">
            <w:pPr>
              <w:pStyle w:val="NormalTNR"/>
              <w:spacing w:after="0"/>
              <w:rPr>
                <w:lang w:eastAsia="ja-JP"/>
              </w:rPr>
            </w:pPr>
            <w:r>
              <w:rPr>
                <w:lang w:eastAsia="ja-JP"/>
              </w:rPr>
              <w:t>14,616.71</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03588E" w:rsidP="007B68D3">
            <w:pPr>
              <w:pStyle w:val="NormalTNR"/>
              <w:spacing w:after="0"/>
              <w:rPr>
                <w:lang w:eastAsia="ja-JP"/>
              </w:rPr>
            </w:pPr>
            <w:r>
              <w:rPr>
                <w:lang w:eastAsia="ja-JP"/>
              </w:rPr>
              <w:t>2,752</w:t>
            </w:r>
          </w:p>
        </w:tc>
        <w:tc>
          <w:tcPr>
            <w:tcW w:w="1563" w:type="dxa"/>
            <w:shd w:val="clear" w:color="auto" w:fill="auto"/>
            <w:vAlign w:val="center"/>
          </w:tcPr>
          <w:p w:rsidR="006C3986" w:rsidRPr="00690A00" w:rsidRDefault="0003588E" w:rsidP="007B68D3">
            <w:pPr>
              <w:pStyle w:val="NormalTNR"/>
              <w:spacing w:after="0"/>
              <w:rPr>
                <w:lang w:eastAsia="ja-JP"/>
              </w:rPr>
            </w:pPr>
            <w:r>
              <w:rPr>
                <w:lang w:eastAsia="ja-JP"/>
              </w:rPr>
              <w:t>845</w:t>
            </w:r>
          </w:p>
        </w:tc>
        <w:tc>
          <w:tcPr>
            <w:tcW w:w="1027" w:type="dxa"/>
            <w:shd w:val="clear" w:color="auto" w:fill="auto"/>
            <w:vAlign w:val="center"/>
          </w:tcPr>
          <w:p w:rsidR="006C3986" w:rsidRPr="00690A00" w:rsidRDefault="0003588E" w:rsidP="007B68D3">
            <w:pPr>
              <w:pStyle w:val="NormalTNR"/>
              <w:spacing w:after="0"/>
              <w:rPr>
                <w:lang w:eastAsia="ja-JP"/>
              </w:rPr>
            </w:pPr>
            <w:r>
              <w:rPr>
                <w:lang w:eastAsia="ja-JP"/>
              </w:rPr>
              <w:t>34.24</w:t>
            </w:r>
          </w:p>
        </w:tc>
        <w:tc>
          <w:tcPr>
            <w:tcW w:w="1249" w:type="dxa"/>
            <w:shd w:val="clear" w:color="auto" w:fill="auto"/>
            <w:vAlign w:val="center"/>
          </w:tcPr>
          <w:p w:rsidR="006C3986" w:rsidRPr="00690A00" w:rsidRDefault="0003588E" w:rsidP="007B68D3">
            <w:pPr>
              <w:pStyle w:val="NormalTNR"/>
              <w:spacing w:after="0"/>
              <w:rPr>
                <w:lang w:eastAsia="ja-JP"/>
              </w:rPr>
            </w:pPr>
            <w:r>
              <w:rPr>
                <w:lang w:eastAsia="ja-JP"/>
              </w:rPr>
              <w:t>227</w:t>
            </w:r>
          </w:p>
        </w:tc>
        <w:tc>
          <w:tcPr>
            <w:tcW w:w="1216" w:type="dxa"/>
            <w:shd w:val="clear" w:color="auto" w:fill="auto"/>
            <w:vAlign w:val="center"/>
          </w:tcPr>
          <w:p w:rsidR="006C3986" w:rsidRPr="00690A00" w:rsidRDefault="0003588E" w:rsidP="007B68D3">
            <w:pPr>
              <w:pStyle w:val="NormalTNR"/>
              <w:spacing w:after="0"/>
              <w:rPr>
                <w:lang w:eastAsia="ja-JP"/>
              </w:rPr>
            </w:pPr>
            <w:r>
              <w:rPr>
                <w:lang w:eastAsia="ja-JP"/>
              </w:rPr>
              <w:t>21.10</w:t>
            </w:r>
          </w:p>
        </w:tc>
        <w:tc>
          <w:tcPr>
            <w:tcW w:w="1860" w:type="dxa"/>
            <w:shd w:val="clear" w:color="auto" w:fill="auto"/>
            <w:vAlign w:val="center"/>
          </w:tcPr>
          <w:p w:rsidR="006C3986" w:rsidRPr="00690A00" w:rsidRDefault="0003588E" w:rsidP="007B68D3">
            <w:pPr>
              <w:pStyle w:val="NormalTNR"/>
              <w:spacing w:after="0"/>
              <w:rPr>
                <w:lang w:eastAsia="ja-JP"/>
              </w:rPr>
            </w:pPr>
            <w:r>
              <w:rPr>
                <w:lang w:eastAsia="ja-JP"/>
              </w:rPr>
              <w:t>7,626.60</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03588E" w:rsidP="007B68D3">
            <w:pPr>
              <w:pStyle w:val="NormalTNR"/>
              <w:spacing w:after="0"/>
              <w:rPr>
                <w:b/>
                <w:lang w:eastAsia="ja-JP"/>
              </w:rPr>
            </w:pPr>
            <w:r>
              <w:rPr>
                <w:b/>
                <w:lang w:eastAsia="ja-JP"/>
              </w:rPr>
              <w:t>5,008</w:t>
            </w:r>
          </w:p>
        </w:tc>
        <w:tc>
          <w:tcPr>
            <w:tcW w:w="1563" w:type="dxa"/>
            <w:shd w:val="clear" w:color="auto" w:fill="auto"/>
            <w:vAlign w:val="center"/>
          </w:tcPr>
          <w:p w:rsidR="006C3986" w:rsidRPr="00E71C1B" w:rsidRDefault="0003588E" w:rsidP="007B68D3">
            <w:pPr>
              <w:pStyle w:val="NormalTNR"/>
              <w:spacing w:after="0"/>
              <w:rPr>
                <w:color w:val="FFFFFF" w:themeColor="background1"/>
                <w:sz w:val="10"/>
                <w:lang w:eastAsia="ja-JP"/>
              </w:rPr>
            </w:pPr>
            <w:r>
              <w:rPr>
                <w:color w:val="FFFFFF" w:themeColor="background1"/>
                <w:sz w:val="10"/>
                <w:lang w:eastAsia="ja-JP"/>
              </w:rPr>
              <w:t>2,398</w:t>
            </w:r>
            <w:r w:rsidR="00E71C1B"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03588E" w:rsidP="007B68D3">
            <w:pPr>
              <w:pStyle w:val="NormalTNR"/>
              <w:spacing w:after="0"/>
              <w:rPr>
                <w:b/>
                <w:lang w:eastAsia="ja-JP"/>
              </w:rPr>
            </w:pPr>
            <w:r>
              <w:rPr>
                <w:b/>
                <w:lang w:eastAsia="ja-JP"/>
              </w:rPr>
              <w:t>140,231.72</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2D2FED" w:rsidRDefault="00EF1C86" w:rsidP="002D2FED">
            <w:pPr>
              <w:spacing w:before="0"/>
              <w:rPr>
                <w:rFonts w:ascii="Times New Roman" w:eastAsia="Times New Roman" w:hAnsi="Times New Roman"/>
                <w:b/>
                <w:color w:val="005E20"/>
                <w:szCs w:val="16"/>
                <w:lang w:eastAsia="ja-JP"/>
              </w:rPr>
            </w:pPr>
            <w:r>
              <w:rPr>
                <w:rFonts w:ascii="Times New Roman" w:eastAsia="Times New Roman" w:hAnsi="Times New Roman"/>
                <w:noProof/>
                <w:color w:val="005E20"/>
                <w:szCs w:val="16"/>
              </w:rPr>
              <w:drawing>
                <wp:inline distT="0" distB="0" distL="0" distR="0" wp14:anchorId="6D702894">
                  <wp:extent cx="207010" cy="207010"/>
                  <wp:effectExtent l="0" t="0" r="2540" b="2540"/>
                  <wp:docPr id="28" name="Picture 28"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noProof/>
                <w:color w:val="005E20"/>
                <w:szCs w:val="16"/>
              </w:rPr>
              <w:t xml:space="preserve"> </w:t>
            </w:r>
            <w:r w:rsidRPr="00914162">
              <w:rPr>
                <w:rFonts w:ascii="Times New Roman" w:eastAsia="Times New Roman" w:hAnsi="Times New Roman"/>
                <w:b/>
                <w:color w:val="9E0B0F"/>
                <w:szCs w:val="16"/>
                <w:lang w:eastAsia="ja-JP"/>
              </w:rPr>
              <w:t>FINDINGS IDENTIFIED</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62645B">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62645B" w:rsidRDefault="0062645B" w:rsidP="00FC03D3">
            <w:pPr>
              <w:spacing w:before="0"/>
              <w:rPr>
                <w:rFonts w:ascii="Times New Roman" w:eastAsia="Times New Roman" w:hAnsi="Times New Roman"/>
                <w:noProof/>
                <w:color w:val="000000"/>
                <w:szCs w:val="20"/>
              </w:rPr>
            </w:pPr>
            <w:r w:rsidRPr="0062645B">
              <w:rPr>
                <w:rFonts w:ascii="Times New Roman" w:eastAsia="Times New Roman" w:hAnsi="Times New Roman"/>
                <w:color w:val="000000"/>
                <w:szCs w:val="16"/>
                <w:lang w:eastAsia="ja-JP"/>
              </w:rPr>
              <w:t>Three household applications were incorrectly processed.</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5A6587EB">
                  <wp:extent cx="207010" cy="207010"/>
                  <wp:effectExtent l="0" t="0" r="2540" b="2540"/>
                  <wp:docPr id="29" name="Picture 29"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62645B">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03588E">
              <w:rPr>
                <w:rFonts w:ascii="Times New Roman" w:eastAsia="Times New Roman" w:hAnsi="Times New Roman"/>
                <w:b/>
                <w:color w:val="000000"/>
                <w:szCs w:val="16"/>
                <w:lang w:eastAsia="ja-JP"/>
              </w:rPr>
              <w:t xml:space="preserve"> </w:t>
            </w:r>
          </w:p>
        </w:tc>
        <w:tc>
          <w:tcPr>
            <w:tcW w:w="4677" w:type="dxa"/>
            <w:vAlign w:val="center"/>
          </w:tcPr>
          <w:p w:rsidR="00906D57" w:rsidRPr="0062645B" w:rsidRDefault="0062645B" w:rsidP="00FC03D3">
            <w:pPr>
              <w:spacing w:before="0"/>
              <w:rPr>
                <w:rFonts w:ascii="Times New Roman" w:eastAsia="Times New Roman" w:hAnsi="Times New Roman"/>
                <w:noProof/>
                <w:color w:val="000000"/>
                <w:szCs w:val="20"/>
              </w:rPr>
            </w:pPr>
            <w:r w:rsidRPr="0062645B">
              <w:rPr>
                <w:rFonts w:ascii="Times New Roman" w:eastAsia="Times New Roman" w:hAnsi="Times New Roman"/>
                <w:color w:val="000000"/>
                <w:szCs w:val="16"/>
                <w:lang w:eastAsia="ja-JP"/>
              </w:rPr>
              <w:t xml:space="preserve">Copies of the letters sent to households at the conclusion of verification </w:t>
            </w:r>
            <w:proofErr w:type="gramStart"/>
            <w:r w:rsidRPr="0062645B">
              <w:rPr>
                <w:rFonts w:ascii="Times New Roman" w:eastAsia="Times New Roman" w:hAnsi="Times New Roman"/>
                <w:color w:val="000000"/>
                <w:szCs w:val="16"/>
                <w:lang w:eastAsia="ja-JP"/>
              </w:rPr>
              <w:t>were not maintained</w:t>
            </w:r>
            <w:proofErr w:type="gramEnd"/>
            <w:r w:rsidRPr="0062645B">
              <w:rPr>
                <w:rFonts w:ascii="Times New Roman" w:eastAsia="Times New Roman" w:hAnsi="Times New Roman"/>
                <w:color w:val="000000"/>
                <w:szCs w:val="16"/>
                <w:lang w:eastAsia="ja-JP"/>
              </w:rPr>
              <w:t xml:space="preserve"> on file.</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4D5C05D5">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62645B">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03588E">
              <w:rPr>
                <w:rFonts w:ascii="Times New Roman" w:eastAsia="Times New Roman" w:hAnsi="Times New Roman"/>
                <w:b/>
                <w:color w:val="000000"/>
                <w:szCs w:val="16"/>
                <w:lang w:eastAsia="ja-JP"/>
              </w:rPr>
              <w:t xml:space="preserve"> </w:t>
            </w:r>
          </w:p>
        </w:tc>
        <w:tc>
          <w:tcPr>
            <w:tcW w:w="4677" w:type="dxa"/>
            <w:vAlign w:val="center"/>
          </w:tcPr>
          <w:p w:rsidR="00906D57" w:rsidRPr="0062645B" w:rsidRDefault="0062645B" w:rsidP="00FC03D3">
            <w:pPr>
              <w:spacing w:before="0"/>
              <w:rPr>
                <w:rFonts w:ascii="Times New Roman" w:eastAsia="Times New Roman" w:hAnsi="Times New Roman"/>
                <w:color w:val="auto"/>
                <w:szCs w:val="16"/>
                <w:lang w:eastAsia="ja-JP"/>
              </w:rPr>
            </w:pPr>
            <w:r w:rsidRPr="0062645B">
              <w:rPr>
                <w:rFonts w:ascii="Times New Roman" w:eastAsia="Times New Roman" w:hAnsi="Times New Roman"/>
                <w:color w:val="000000"/>
                <w:szCs w:val="16"/>
                <w:lang w:eastAsia="ja-JP"/>
              </w:rPr>
              <w:t xml:space="preserve">Meal counts for the Afterschool Snack Program </w:t>
            </w:r>
            <w:proofErr w:type="gramStart"/>
            <w:r w:rsidRPr="0062645B">
              <w:rPr>
                <w:rFonts w:ascii="Times New Roman" w:eastAsia="Times New Roman" w:hAnsi="Times New Roman"/>
                <w:color w:val="000000"/>
                <w:szCs w:val="16"/>
                <w:lang w:eastAsia="ja-JP"/>
              </w:rPr>
              <w:t>were incorrectly consolidated</w:t>
            </w:r>
            <w:proofErr w:type="gramEnd"/>
            <w:r w:rsidRPr="0062645B">
              <w:rPr>
                <w:rFonts w:ascii="Times New Roman" w:eastAsia="Times New Roman" w:hAnsi="Times New Roman"/>
                <w:color w:val="000000"/>
                <w:szCs w:val="16"/>
                <w:lang w:eastAsia="ja-JP"/>
              </w:rPr>
              <w:t xml:space="preserve"> in the claim for reimbursement.</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03588E" w:rsidRDefault="002032A0" w:rsidP="00260CA2">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16E9FE8D">
                  <wp:extent cx="189230" cy="189230"/>
                  <wp:effectExtent l="0" t="0" r="1270" b="1270"/>
                  <wp:docPr id="44" name="Picture 4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03588E"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03588E"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03588E" w:rsidRDefault="00F539FA" w:rsidP="00BC0516">
            <w:pPr>
              <w:rPr>
                <w:rFonts w:ascii="Times New Roman" w:eastAsia="Times New Roman" w:hAnsi="Times New Roman"/>
                <w:b/>
                <w:color w:val="005E20"/>
                <w:szCs w:val="16"/>
                <w:lang w:eastAsia="ja-JP"/>
              </w:rPr>
            </w:pPr>
            <w:r>
              <w:pict>
                <v:shape id="_x0000_i1032" type="#_x0000_t75" alt="Denotes no findings" style="width:15pt;height:15pt;visibility:visible;mso-wrap-style:square">
                  <v:imagedata r:id="rId11" o:title="Denotes no findings"/>
                </v:shape>
              </w:pict>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2032A0">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lastRenderedPageBreak/>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03588E"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03588E"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03588E"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5D4" w:rsidRDefault="00F645D4" w:rsidP="00EA0AD0">
      <w:pPr>
        <w:spacing w:before="0" w:after="0"/>
      </w:pPr>
      <w:r>
        <w:separator/>
      </w:r>
    </w:p>
  </w:endnote>
  <w:endnote w:type="continuationSeparator" w:id="0">
    <w:p w:rsidR="00F645D4" w:rsidRDefault="00F645D4"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5D4" w:rsidRDefault="00F645D4" w:rsidP="00EA0AD0">
      <w:pPr>
        <w:spacing w:before="0" w:after="0"/>
      </w:pPr>
      <w:r>
        <w:separator/>
      </w:r>
    </w:p>
  </w:footnote>
  <w:footnote w:type="continuationSeparator" w:id="0">
    <w:p w:rsidR="00F645D4" w:rsidRDefault="00F645D4"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6pt;height:21.6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6pt;height:21.6pt;visibility:visible;mso-wrap-style:square" o:bullet="t">
        <v:imagedata r:id="rId3" o:title="Denotes findings identified"/>
      </v:shape>
    </w:pict>
  </w:numPicBullet>
  <w:numPicBullet w:numPicBulletId="3">
    <w:pict>
      <v:shape id="_x0000_i1029" type="#_x0000_t75" style="width:15.6pt;height:15.6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029F1"/>
    <w:rsid w:val="0003588E"/>
    <w:rsid w:val="00097AFF"/>
    <w:rsid w:val="000B155A"/>
    <w:rsid w:val="000C309B"/>
    <w:rsid w:val="000C4495"/>
    <w:rsid w:val="001B0603"/>
    <w:rsid w:val="001F75BE"/>
    <w:rsid w:val="002032A0"/>
    <w:rsid w:val="00217886"/>
    <w:rsid w:val="00260CA2"/>
    <w:rsid w:val="00265D36"/>
    <w:rsid w:val="00274A66"/>
    <w:rsid w:val="002D2FED"/>
    <w:rsid w:val="002D4167"/>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2645B"/>
    <w:rsid w:val="006475A6"/>
    <w:rsid w:val="00690A00"/>
    <w:rsid w:val="00694D91"/>
    <w:rsid w:val="006C3986"/>
    <w:rsid w:val="006D0B91"/>
    <w:rsid w:val="006E68D8"/>
    <w:rsid w:val="0070509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450BF"/>
    <w:rsid w:val="00C55670"/>
    <w:rsid w:val="00C75889"/>
    <w:rsid w:val="00CC5420"/>
    <w:rsid w:val="00D8766D"/>
    <w:rsid w:val="00DB68F3"/>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39FA"/>
    <w:rsid w:val="00F570B2"/>
    <w:rsid w:val="00F60239"/>
    <w:rsid w:val="00F645D4"/>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6E29-4830-4EB2-92AF-BC77D596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Orange County FPAR Summary</vt:lpstr>
    </vt:vector>
  </TitlesOfParts>
  <Company>Virginia IT Infrastructure Partnership</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County FPAR Summary</dc:title>
  <dc:subject>Nutrition</dc:subject>
  <dc:creator>DOE - NUTRITION (DOE)</dc:creator>
  <cp:lastModifiedBy>Bowman, Kelly (DOE)</cp:lastModifiedBy>
  <cp:revision>3</cp:revision>
  <cp:lastPrinted>2018-03-27T12:01:00Z</cp:lastPrinted>
  <dcterms:created xsi:type="dcterms:W3CDTF">2018-04-11T16:02:00Z</dcterms:created>
  <dcterms:modified xsi:type="dcterms:W3CDTF">2018-04-11T16:02:00Z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