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FC312F">
        <w:t>Solutions that Empower People (STEP), Inc.</w:t>
      </w:r>
    </w:p>
    <w:p w:rsidR="00E63DC5" w:rsidRDefault="00E63DC5" w:rsidP="00E63DC5">
      <w:pPr>
        <w:pStyle w:val="NormalTNR"/>
      </w:pPr>
      <w:r w:rsidRPr="008B62AA">
        <w:rPr>
          <w:b/>
        </w:rPr>
        <w:t>Report Publication Date:</w:t>
      </w:r>
      <w:r>
        <w:t xml:space="preserve"> </w:t>
      </w:r>
      <w:r w:rsidR="00FC312F">
        <w:t>May 2017</w:t>
      </w:r>
    </w:p>
    <w:p w:rsidR="00E63DC5" w:rsidRDefault="00E63DC5" w:rsidP="00E63DC5">
      <w:pPr>
        <w:pStyle w:val="NormalTNR"/>
      </w:pPr>
      <w:r w:rsidRPr="008B62AA">
        <w:rPr>
          <w:b/>
        </w:rPr>
        <w:t>Administrative Review Dates:</w:t>
      </w:r>
      <w:r>
        <w:t xml:space="preserve"> </w:t>
      </w:r>
      <w:r w:rsidR="00FC312F">
        <w:t>May 16-18, 2017</w:t>
      </w:r>
    </w:p>
    <w:p w:rsidR="00E63DC5" w:rsidRDefault="00E63DC5" w:rsidP="00E63DC5">
      <w:pPr>
        <w:pStyle w:val="NormalTNR"/>
      </w:pPr>
      <w:r w:rsidRPr="008B62AA">
        <w:rPr>
          <w:b/>
        </w:rPr>
        <w:t>Review Month and Year:</w:t>
      </w:r>
      <w:r>
        <w:t xml:space="preserve"> </w:t>
      </w:r>
      <w:r w:rsidR="00FC312F">
        <w:t>April 2017</w:t>
      </w:r>
    </w:p>
    <w:p w:rsidR="00E63DC5" w:rsidRDefault="00E63DC5" w:rsidP="00E63DC5">
      <w:pPr>
        <w:pStyle w:val="NormalTNR"/>
      </w:pPr>
      <w:r w:rsidRPr="008B62AA">
        <w:rPr>
          <w:b/>
        </w:rPr>
        <w:t>Participating Programs:</w:t>
      </w:r>
      <w:r>
        <w:t xml:space="preserve"> </w:t>
      </w:r>
      <w:r w:rsidR="00FC312F">
        <w:t>NSLP, SBP</w:t>
      </w:r>
    </w:p>
    <w:p w:rsidR="00E63DC5" w:rsidRPr="00E63DC5" w:rsidRDefault="00E63DC5" w:rsidP="00F70D82">
      <w:pPr>
        <w:pStyle w:val="NormalTNR"/>
        <w:spacing w:after="600"/>
      </w:pPr>
      <w:proofErr w:type="gramStart"/>
      <w:r w:rsidRPr="008B62AA">
        <w:rPr>
          <w:b/>
        </w:rPr>
        <w:t>Participates in Special Provisions?</w:t>
      </w:r>
      <w:proofErr w:type="gramEnd"/>
      <w:r>
        <w:t xml:space="preserve"> </w:t>
      </w:r>
      <w:r w:rsidR="00FC312F">
        <w:t>No</w:t>
      </w:r>
    </w:p>
    <w:p w:rsidR="0031611E" w:rsidRPr="00A72169" w:rsidRDefault="0031611E" w:rsidP="00F70D82">
      <w:pPr>
        <w:pStyle w:val="Heading2"/>
        <w:spacing w:after="120"/>
      </w:pPr>
      <w:r w:rsidRPr="00A61E27">
        <w:rPr>
          <w:sz w:val="28"/>
        </w:rPr>
        <w:t>Enrollm</w:t>
      </w:r>
      <w:r w:rsidR="00806AE0" w:rsidRPr="00A61E27">
        <w:rPr>
          <w:sz w:val="28"/>
        </w:rPr>
        <w:t xml:space="preserve">ent and Participation Data for </w:t>
      </w:r>
      <w:r w:rsidR="00FC312F">
        <w:rPr>
          <w:sz w:val="28"/>
        </w:rPr>
        <w:t>April 2017:</w:t>
      </w:r>
      <w:r w:rsidR="00A72169">
        <w:br/>
      </w:r>
    </w:p>
    <w:tbl>
      <w:tblPr>
        <w:tblStyle w:val="TableGrid"/>
        <w:tblW w:w="9535" w:type="dxa"/>
        <w:tblLook w:val="04A0" w:firstRow="1" w:lastRow="0" w:firstColumn="1" w:lastColumn="0" w:noHBand="0" w:noVBand="1"/>
        <w:tblDescription w:val="Enrollment and participation data"/>
      </w:tblPr>
      <w:tblGrid>
        <w:gridCol w:w="1230"/>
        <w:gridCol w:w="1390"/>
        <w:gridCol w:w="1563"/>
        <w:gridCol w:w="1027"/>
        <w:gridCol w:w="1249"/>
        <w:gridCol w:w="1216"/>
        <w:gridCol w:w="1860"/>
      </w:tblGrid>
      <w:tr w:rsidR="00767813" w:rsidRPr="00937A7F" w:rsidTr="00937A7F">
        <w:trPr>
          <w:tblHead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C3986" w:rsidRPr="00937A7F" w:rsidRDefault="00767813" w:rsidP="00E71C1B">
            <w:pPr>
              <w:pStyle w:val="NormalTNR"/>
              <w:spacing w:after="0"/>
              <w:rPr>
                <w:b/>
                <w:lang w:eastAsia="ja-JP"/>
              </w:rPr>
            </w:pPr>
            <w:r w:rsidRPr="00937A7F">
              <w:rPr>
                <w:b/>
                <w:lang w:eastAsia="ja-JP"/>
              </w:rPr>
              <w:t>Eligibility</w:t>
            </w:r>
          </w:p>
        </w:tc>
        <w:tc>
          <w:tcPr>
            <w:tcW w:w="1390" w:type="dxa"/>
            <w:shd w:val="clear" w:color="auto" w:fill="auto"/>
            <w:vAlign w:val="center"/>
          </w:tcPr>
          <w:p w:rsidR="006C3986" w:rsidRPr="00937A7F" w:rsidRDefault="0032739D" w:rsidP="00E71C1B">
            <w:pPr>
              <w:pStyle w:val="NormalTNR"/>
              <w:spacing w:after="0"/>
              <w:rPr>
                <w:b/>
                <w:lang w:eastAsia="ja-JP"/>
              </w:rPr>
            </w:pPr>
            <w:r w:rsidRPr="00937A7F">
              <w:rPr>
                <w:b/>
                <w:lang w:eastAsia="ja-JP"/>
              </w:rPr>
              <w:t>Enrollment</w:t>
            </w:r>
          </w:p>
        </w:tc>
        <w:tc>
          <w:tcPr>
            <w:tcW w:w="1563"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Avg. Daily Participation</w:t>
            </w:r>
            <w:r w:rsidR="00767813" w:rsidRPr="00937A7F">
              <w:rPr>
                <w:b/>
                <w:lang w:eastAsia="ja-JP"/>
              </w:rPr>
              <w:t xml:space="preserve"> (ADP)</w:t>
            </w:r>
          </w:p>
        </w:tc>
        <w:tc>
          <w:tcPr>
            <w:tcW w:w="1027"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ADP %</w:t>
            </w:r>
          </w:p>
        </w:tc>
        <w:tc>
          <w:tcPr>
            <w:tcW w:w="1249"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 xml:space="preserve">Breakfast </w:t>
            </w:r>
            <w:r w:rsidR="00767813" w:rsidRPr="00937A7F">
              <w:rPr>
                <w:b/>
                <w:lang w:eastAsia="ja-JP"/>
              </w:rPr>
              <w:t>ADP</w:t>
            </w:r>
          </w:p>
        </w:tc>
        <w:tc>
          <w:tcPr>
            <w:tcW w:w="1216"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Breakfast ADP %</w:t>
            </w:r>
          </w:p>
        </w:tc>
        <w:tc>
          <w:tcPr>
            <w:tcW w:w="1860"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Total Reimbursement ($$)</w:t>
            </w:r>
          </w:p>
        </w:tc>
      </w:tr>
      <w:tr w:rsidR="00767813" w:rsidRPr="00937A7F" w:rsidTr="00690A00">
        <w:trPr>
          <w:tblHeader/>
        </w:trPr>
        <w:tc>
          <w:tcPr>
            <w:tcW w:w="1230" w:type="dxa"/>
            <w:tcBorders>
              <w:top w:val="single" w:sz="4" w:space="0" w:color="auto"/>
            </w:tcBorders>
            <w:shd w:val="clear" w:color="auto" w:fill="auto"/>
          </w:tcPr>
          <w:p w:rsidR="006C3986" w:rsidRPr="00E71C1B" w:rsidRDefault="006C3986" w:rsidP="00E71C1B">
            <w:pPr>
              <w:pStyle w:val="NormalTNR"/>
              <w:spacing w:after="0"/>
              <w:rPr>
                <w:b/>
                <w:lang w:eastAsia="ja-JP"/>
              </w:rPr>
            </w:pPr>
            <w:r w:rsidRPr="00E71C1B">
              <w:rPr>
                <w:b/>
                <w:lang w:eastAsia="ja-JP"/>
              </w:rPr>
              <w:t>Free</w:t>
            </w:r>
          </w:p>
        </w:tc>
        <w:tc>
          <w:tcPr>
            <w:tcW w:w="1390" w:type="dxa"/>
            <w:shd w:val="clear" w:color="auto" w:fill="auto"/>
            <w:vAlign w:val="center"/>
          </w:tcPr>
          <w:p w:rsidR="006C3986" w:rsidRPr="00690A00" w:rsidRDefault="00FC312F" w:rsidP="007B68D3">
            <w:pPr>
              <w:pStyle w:val="NormalTNR"/>
              <w:spacing w:after="0"/>
              <w:rPr>
                <w:lang w:eastAsia="ja-JP"/>
              </w:rPr>
            </w:pPr>
            <w:r>
              <w:rPr>
                <w:lang w:eastAsia="ja-JP"/>
              </w:rPr>
              <w:t>7</w:t>
            </w:r>
          </w:p>
        </w:tc>
        <w:tc>
          <w:tcPr>
            <w:tcW w:w="1563" w:type="dxa"/>
            <w:shd w:val="clear" w:color="auto" w:fill="auto"/>
            <w:vAlign w:val="center"/>
          </w:tcPr>
          <w:p w:rsidR="006C3986" w:rsidRPr="00690A00" w:rsidRDefault="00FC312F" w:rsidP="007B68D3">
            <w:pPr>
              <w:pStyle w:val="NormalTNR"/>
              <w:spacing w:after="0"/>
              <w:rPr>
                <w:lang w:eastAsia="ja-JP"/>
              </w:rPr>
            </w:pPr>
            <w:r>
              <w:rPr>
                <w:lang w:eastAsia="ja-JP"/>
              </w:rPr>
              <w:t>5</w:t>
            </w:r>
          </w:p>
        </w:tc>
        <w:tc>
          <w:tcPr>
            <w:tcW w:w="1027" w:type="dxa"/>
            <w:shd w:val="clear" w:color="auto" w:fill="auto"/>
            <w:vAlign w:val="center"/>
          </w:tcPr>
          <w:p w:rsidR="006C3986" w:rsidRPr="00690A00" w:rsidRDefault="00FC312F" w:rsidP="007B68D3">
            <w:pPr>
              <w:pStyle w:val="NormalTNR"/>
              <w:spacing w:after="0"/>
              <w:rPr>
                <w:lang w:eastAsia="ja-JP"/>
              </w:rPr>
            </w:pPr>
            <w:r>
              <w:rPr>
                <w:lang w:eastAsia="ja-JP"/>
              </w:rPr>
              <w:t>n/a</w:t>
            </w:r>
          </w:p>
        </w:tc>
        <w:tc>
          <w:tcPr>
            <w:tcW w:w="1249" w:type="dxa"/>
            <w:shd w:val="clear" w:color="auto" w:fill="auto"/>
            <w:vAlign w:val="center"/>
          </w:tcPr>
          <w:p w:rsidR="006C3986" w:rsidRPr="00690A00" w:rsidRDefault="00FC312F" w:rsidP="007B68D3">
            <w:pPr>
              <w:pStyle w:val="NormalTNR"/>
              <w:spacing w:after="0"/>
              <w:rPr>
                <w:lang w:eastAsia="ja-JP"/>
              </w:rPr>
            </w:pPr>
            <w:r>
              <w:rPr>
                <w:lang w:eastAsia="ja-JP"/>
              </w:rPr>
              <w:t>3</w:t>
            </w:r>
          </w:p>
        </w:tc>
        <w:tc>
          <w:tcPr>
            <w:tcW w:w="1216" w:type="dxa"/>
            <w:shd w:val="clear" w:color="auto" w:fill="auto"/>
            <w:vAlign w:val="center"/>
          </w:tcPr>
          <w:p w:rsidR="006C3986" w:rsidRPr="00690A00" w:rsidRDefault="00FC312F" w:rsidP="007B68D3">
            <w:pPr>
              <w:pStyle w:val="NormalTNR"/>
              <w:spacing w:after="0"/>
              <w:rPr>
                <w:lang w:eastAsia="ja-JP"/>
              </w:rPr>
            </w:pPr>
            <w:r>
              <w:rPr>
                <w:lang w:eastAsia="ja-JP"/>
              </w:rPr>
              <w:t>33.33</w:t>
            </w:r>
          </w:p>
        </w:tc>
        <w:tc>
          <w:tcPr>
            <w:tcW w:w="1860" w:type="dxa"/>
            <w:shd w:val="clear" w:color="auto" w:fill="auto"/>
            <w:vAlign w:val="center"/>
          </w:tcPr>
          <w:p w:rsidR="006C3986" w:rsidRPr="00690A00" w:rsidRDefault="00FC312F" w:rsidP="007B68D3">
            <w:pPr>
              <w:pStyle w:val="NormalTNR"/>
              <w:spacing w:after="0"/>
              <w:rPr>
                <w:lang w:eastAsia="ja-JP"/>
              </w:rPr>
            </w:pPr>
            <w:r>
              <w:rPr>
                <w:lang w:eastAsia="ja-JP"/>
              </w:rPr>
              <w:t>287.76</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Reduced</w:t>
            </w:r>
          </w:p>
        </w:tc>
        <w:tc>
          <w:tcPr>
            <w:tcW w:w="1390" w:type="dxa"/>
            <w:shd w:val="clear" w:color="auto" w:fill="auto"/>
            <w:vAlign w:val="center"/>
          </w:tcPr>
          <w:p w:rsidR="006C3986" w:rsidRPr="00690A00" w:rsidRDefault="00FC312F" w:rsidP="007B68D3">
            <w:pPr>
              <w:pStyle w:val="NormalTNR"/>
              <w:spacing w:after="0"/>
              <w:rPr>
                <w:lang w:eastAsia="ja-JP"/>
              </w:rPr>
            </w:pPr>
            <w:r>
              <w:rPr>
                <w:lang w:eastAsia="ja-JP"/>
              </w:rPr>
              <w:t>0</w:t>
            </w:r>
          </w:p>
        </w:tc>
        <w:tc>
          <w:tcPr>
            <w:tcW w:w="1563" w:type="dxa"/>
            <w:shd w:val="clear" w:color="auto" w:fill="auto"/>
            <w:vAlign w:val="center"/>
          </w:tcPr>
          <w:p w:rsidR="006C3986" w:rsidRPr="00690A00" w:rsidRDefault="00FC312F" w:rsidP="007B68D3">
            <w:pPr>
              <w:pStyle w:val="NormalTNR"/>
              <w:spacing w:after="0"/>
              <w:rPr>
                <w:lang w:eastAsia="ja-JP"/>
              </w:rPr>
            </w:pPr>
            <w:r>
              <w:rPr>
                <w:lang w:eastAsia="ja-JP"/>
              </w:rPr>
              <w:t>0</w:t>
            </w:r>
          </w:p>
        </w:tc>
        <w:tc>
          <w:tcPr>
            <w:tcW w:w="1027" w:type="dxa"/>
            <w:shd w:val="clear" w:color="auto" w:fill="auto"/>
            <w:vAlign w:val="center"/>
          </w:tcPr>
          <w:p w:rsidR="006C3986" w:rsidRPr="00690A00" w:rsidRDefault="00FC312F" w:rsidP="007B68D3">
            <w:pPr>
              <w:pStyle w:val="NormalTNR"/>
              <w:spacing w:after="0"/>
              <w:rPr>
                <w:lang w:eastAsia="ja-JP"/>
              </w:rPr>
            </w:pPr>
            <w:r>
              <w:rPr>
                <w:lang w:eastAsia="ja-JP"/>
              </w:rPr>
              <w:t>n/a</w:t>
            </w:r>
          </w:p>
        </w:tc>
        <w:tc>
          <w:tcPr>
            <w:tcW w:w="1249" w:type="dxa"/>
            <w:shd w:val="clear" w:color="auto" w:fill="auto"/>
            <w:vAlign w:val="center"/>
          </w:tcPr>
          <w:p w:rsidR="006C3986" w:rsidRPr="00690A00" w:rsidRDefault="00FC312F" w:rsidP="007B68D3">
            <w:pPr>
              <w:pStyle w:val="NormalTNR"/>
              <w:spacing w:after="0"/>
              <w:rPr>
                <w:lang w:eastAsia="ja-JP"/>
              </w:rPr>
            </w:pPr>
            <w:r>
              <w:rPr>
                <w:lang w:eastAsia="ja-JP"/>
              </w:rPr>
              <w:t>0</w:t>
            </w:r>
          </w:p>
        </w:tc>
        <w:tc>
          <w:tcPr>
            <w:tcW w:w="1216" w:type="dxa"/>
            <w:shd w:val="clear" w:color="auto" w:fill="auto"/>
            <w:vAlign w:val="center"/>
          </w:tcPr>
          <w:p w:rsidR="006C3986" w:rsidRPr="00690A00" w:rsidRDefault="00FC312F" w:rsidP="007B68D3">
            <w:pPr>
              <w:pStyle w:val="NormalTNR"/>
              <w:spacing w:after="0"/>
              <w:rPr>
                <w:lang w:eastAsia="ja-JP"/>
              </w:rPr>
            </w:pPr>
            <w:r>
              <w:rPr>
                <w:lang w:eastAsia="ja-JP"/>
              </w:rPr>
              <w:t>0</w:t>
            </w:r>
          </w:p>
        </w:tc>
        <w:tc>
          <w:tcPr>
            <w:tcW w:w="1860" w:type="dxa"/>
            <w:shd w:val="clear" w:color="auto" w:fill="auto"/>
            <w:vAlign w:val="center"/>
          </w:tcPr>
          <w:p w:rsidR="006C3986" w:rsidRPr="00690A00" w:rsidRDefault="00FC312F" w:rsidP="007B68D3">
            <w:pPr>
              <w:pStyle w:val="NormalTNR"/>
              <w:spacing w:after="0"/>
              <w:rPr>
                <w:lang w:eastAsia="ja-JP"/>
              </w:rPr>
            </w:pPr>
            <w:r>
              <w:rPr>
                <w:lang w:eastAsia="ja-JP"/>
              </w:rPr>
              <w:t>0.00</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Paid</w:t>
            </w:r>
          </w:p>
        </w:tc>
        <w:tc>
          <w:tcPr>
            <w:tcW w:w="1390" w:type="dxa"/>
            <w:shd w:val="clear" w:color="auto" w:fill="auto"/>
            <w:vAlign w:val="center"/>
          </w:tcPr>
          <w:p w:rsidR="006C3986" w:rsidRPr="00690A00" w:rsidRDefault="00FC312F" w:rsidP="007B68D3">
            <w:pPr>
              <w:pStyle w:val="NormalTNR"/>
              <w:spacing w:after="0"/>
              <w:rPr>
                <w:lang w:eastAsia="ja-JP"/>
              </w:rPr>
            </w:pPr>
            <w:r>
              <w:rPr>
                <w:lang w:eastAsia="ja-JP"/>
              </w:rPr>
              <w:t>2</w:t>
            </w:r>
          </w:p>
        </w:tc>
        <w:tc>
          <w:tcPr>
            <w:tcW w:w="1563" w:type="dxa"/>
            <w:shd w:val="clear" w:color="auto" w:fill="auto"/>
            <w:vAlign w:val="center"/>
          </w:tcPr>
          <w:p w:rsidR="006C3986" w:rsidRPr="00690A00" w:rsidRDefault="00FC312F" w:rsidP="007B68D3">
            <w:pPr>
              <w:pStyle w:val="NormalTNR"/>
              <w:spacing w:after="0"/>
              <w:rPr>
                <w:lang w:eastAsia="ja-JP"/>
              </w:rPr>
            </w:pPr>
            <w:r>
              <w:rPr>
                <w:lang w:eastAsia="ja-JP"/>
              </w:rPr>
              <w:t>0</w:t>
            </w:r>
          </w:p>
        </w:tc>
        <w:tc>
          <w:tcPr>
            <w:tcW w:w="1027" w:type="dxa"/>
            <w:shd w:val="clear" w:color="auto" w:fill="auto"/>
            <w:vAlign w:val="center"/>
          </w:tcPr>
          <w:p w:rsidR="006C3986" w:rsidRPr="00690A00" w:rsidRDefault="00FC312F" w:rsidP="007B68D3">
            <w:pPr>
              <w:pStyle w:val="NormalTNR"/>
              <w:spacing w:after="0"/>
              <w:rPr>
                <w:lang w:eastAsia="ja-JP"/>
              </w:rPr>
            </w:pPr>
            <w:r>
              <w:rPr>
                <w:lang w:eastAsia="ja-JP"/>
              </w:rPr>
              <w:t>n/a</w:t>
            </w:r>
          </w:p>
        </w:tc>
        <w:tc>
          <w:tcPr>
            <w:tcW w:w="1249" w:type="dxa"/>
            <w:shd w:val="clear" w:color="auto" w:fill="auto"/>
            <w:vAlign w:val="center"/>
          </w:tcPr>
          <w:p w:rsidR="006C3986" w:rsidRPr="00690A00" w:rsidRDefault="00FC312F" w:rsidP="007B68D3">
            <w:pPr>
              <w:pStyle w:val="NormalTNR"/>
              <w:spacing w:after="0"/>
              <w:rPr>
                <w:lang w:eastAsia="ja-JP"/>
              </w:rPr>
            </w:pPr>
            <w:r>
              <w:rPr>
                <w:lang w:eastAsia="ja-JP"/>
              </w:rPr>
              <w:t>0</w:t>
            </w:r>
          </w:p>
        </w:tc>
        <w:tc>
          <w:tcPr>
            <w:tcW w:w="1216" w:type="dxa"/>
            <w:shd w:val="clear" w:color="auto" w:fill="auto"/>
            <w:vAlign w:val="center"/>
          </w:tcPr>
          <w:p w:rsidR="006C3986" w:rsidRPr="00690A00" w:rsidRDefault="00FC312F" w:rsidP="007B68D3">
            <w:pPr>
              <w:pStyle w:val="NormalTNR"/>
              <w:spacing w:after="0"/>
              <w:rPr>
                <w:lang w:eastAsia="ja-JP"/>
              </w:rPr>
            </w:pPr>
            <w:r>
              <w:rPr>
                <w:lang w:eastAsia="ja-JP"/>
              </w:rPr>
              <w:t>55.56</w:t>
            </w:r>
          </w:p>
        </w:tc>
        <w:tc>
          <w:tcPr>
            <w:tcW w:w="1860" w:type="dxa"/>
            <w:shd w:val="clear" w:color="auto" w:fill="auto"/>
            <w:vAlign w:val="center"/>
          </w:tcPr>
          <w:p w:rsidR="006C3986" w:rsidRPr="00690A00" w:rsidRDefault="00FC312F" w:rsidP="007B68D3">
            <w:pPr>
              <w:pStyle w:val="NormalTNR"/>
              <w:spacing w:after="0"/>
              <w:rPr>
                <w:lang w:eastAsia="ja-JP"/>
              </w:rPr>
            </w:pPr>
            <w:r>
              <w:rPr>
                <w:lang w:eastAsia="ja-JP"/>
              </w:rPr>
              <w:t>2.01</w:t>
            </w:r>
          </w:p>
        </w:tc>
      </w:tr>
      <w:tr w:rsidR="00767813" w:rsidRPr="00937A7F" w:rsidTr="00937A7F">
        <w:trPr>
          <w:tblHeader/>
        </w:trPr>
        <w:tc>
          <w:tcPr>
            <w:tcW w:w="1230" w:type="dxa"/>
            <w:shd w:val="clear" w:color="auto" w:fill="auto"/>
          </w:tcPr>
          <w:p w:rsidR="006C3986" w:rsidRPr="00937A7F" w:rsidRDefault="006C3986" w:rsidP="00E71C1B">
            <w:pPr>
              <w:pStyle w:val="NormalTNR"/>
              <w:spacing w:after="0"/>
              <w:rPr>
                <w:b/>
                <w:lang w:eastAsia="ja-JP"/>
              </w:rPr>
            </w:pPr>
            <w:r w:rsidRPr="00937A7F">
              <w:rPr>
                <w:b/>
                <w:lang w:eastAsia="ja-JP"/>
              </w:rPr>
              <w:t>Total</w:t>
            </w:r>
          </w:p>
        </w:tc>
        <w:tc>
          <w:tcPr>
            <w:tcW w:w="1390" w:type="dxa"/>
            <w:shd w:val="clear" w:color="auto" w:fill="auto"/>
          </w:tcPr>
          <w:p w:rsidR="006C3986" w:rsidRPr="00937A7F" w:rsidRDefault="00FC312F" w:rsidP="007B68D3">
            <w:pPr>
              <w:pStyle w:val="NormalTNR"/>
              <w:spacing w:after="0"/>
              <w:rPr>
                <w:b/>
                <w:lang w:eastAsia="ja-JP"/>
              </w:rPr>
            </w:pPr>
            <w:r>
              <w:rPr>
                <w:b/>
                <w:lang w:eastAsia="ja-JP"/>
              </w:rPr>
              <w:t>9</w:t>
            </w:r>
          </w:p>
        </w:tc>
        <w:tc>
          <w:tcPr>
            <w:tcW w:w="1563" w:type="dxa"/>
            <w:shd w:val="clear" w:color="auto" w:fill="auto"/>
            <w:vAlign w:val="center"/>
          </w:tcPr>
          <w:p w:rsidR="006C3986" w:rsidRPr="00E71C1B" w:rsidRDefault="00E71C1B" w:rsidP="007B68D3">
            <w:pPr>
              <w:pStyle w:val="NormalTNR"/>
              <w:spacing w:after="0"/>
              <w:rPr>
                <w:color w:val="FFFFFF" w:themeColor="background1"/>
                <w:sz w:val="10"/>
                <w:lang w:eastAsia="ja-JP"/>
              </w:rPr>
            </w:pPr>
            <w:r w:rsidRPr="00E71C1B">
              <w:rPr>
                <w:color w:val="FFFFFF" w:themeColor="background1"/>
                <w:sz w:val="10"/>
                <w:lang w:eastAsia="ja-JP"/>
              </w:rPr>
              <w:t>Cell intentionally left blank</w:t>
            </w:r>
          </w:p>
        </w:tc>
        <w:tc>
          <w:tcPr>
            <w:tcW w:w="1027" w:type="dxa"/>
            <w:shd w:val="clear" w:color="auto" w:fill="auto"/>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49"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16"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860" w:type="dxa"/>
            <w:shd w:val="clear" w:color="auto" w:fill="auto"/>
            <w:vAlign w:val="center"/>
          </w:tcPr>
          <w:p w:rsidR="006C3986" w:rsidRPr="00937A7F" w:rsidRDefault="00FC312F" w:rsidP="007B68D3">
            <w:pPr>
              <w:pStyle w:val="NormalTNR"/>
              <w:spacing w:after="0"/>
              <w:rPr>
                <w:b/>
                <w:lang w:eastAsia="ja-JP"/>
              </w:rPr>
            </w:pPr>
            <w:r>
              <w:rPr>
                <w:b/>
                <w:lang w:eastAsia="ja-JP"/>
              </w:rPr>
              <w:t>289.77</w:t>
            </w:r>
          </w:p>
        </w:tc>
      </w:tr>
    </w:tbl>
    <w:p w:rsidR="00A03102" w:rsidRPr="007D3AFD" w:rsidRDefault="007D3AFD" w:rsidP="007D3AFD">
      <w:pPr>
        <w:rPr>
          <w:lang w:eastAsia="ja-JP"/>
        </w:rPr>
      </w:pPr>
      <w:r>
        <w:rPr>
          <w:lang w:eastAsia="ja-JP"/>
        </w:rPr>
        <w:br w:type="page"/>
      </w:r>
    </w:p>
    <w:p w:rsidR="00A61E27" w:rsidRPr="00A61E27" w:rsidRDefault="00A03102" w:rsidP="00A61E27">
      <w:pPr>
        <w:pStyle w:val="Heading2"/>
        <w:spacing w:after="480"/>
        <w:rPr>
          <w:sz w:val="28"/>
        </w:rPr>
      </w:pPr>
      <w:r w:rsidRPr="00A61E27">
        <w:rPr>
          <w:sz w:val="28"/>
        </w:rPr>
        <w:lastRenderedPageBreak/>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FC312F" w:rsidRDefault="002032A0" w:rsidP="002D2FED">
            <w:pPr>
              <w:spacing w:before="0"/>
              <w:rPr>
                <w:rFonts w:ascii="Times New Roman" w:eastAsia="Times New Roman" w:hAnsi="Times New Roman"/>
                <w:noProof/>
                <w:color w:val="005E20"/>
                <w:szCs w:val="16"/>
              </w:rPr>
            </w:pPr>
            <w:r>
              <w:rPr>
                <w:rFonts w:ascii="Times New Roman" w:eastAsia="Times New Roman" w:hAnsi="Times New Roman"/>
                <w:b/>
                <w:noProof/>
                <w:color w:val="005E20"/>
                <w:szCs w:val="16"/>
              </w:rPr>
              <w:drawing>
                <wp:inline distT="0" distB="0" distL="0" distR="0" wp14:anchorId="04B765F3">
                  <wp:extent cx="189230" cy="189230"/>
                  <wp:effectExtent l="0" t="0" r="1270" b="1270"/>
                  <wp:docPr id="41" name="Picture 41"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r w:rsidR="00846C3D" w:rsidRPr="002D2FED">
              <w:rPr>
                <w:rFonts w:ascii="Times New Roman" w:eastAsia="Times New Roman" w:hAnsi="Times New Roman"/>
                <w:noProof/>
                <w:color w:val="005E20"/>
                <w:szCs w:val="16"/>
              </w:rPr>
              <w:tab/>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FC312F"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FC312F"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F205EF" w:rsidRDefault="00906D57" w:rsidP="00FC03D3">
            <w:pPr>
              <w:spacing w:before="0"/>
              <w:rPr>
                <w:rFonts w:ascii="Times New Roman" w:eastAsia="Times New Roman" w:hAnsi="Times New Roman"/>
                <w:color w:val="auto"/>
                <w:szCs w:val="16"/>
                <w:lang w:eastAsia="ja-JP"/>
              </w:rPr>
            </w:pP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FC312F" w:rsidRDefault="002032A0" w:rsidP="00260CA2">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6E9FE8D">
                  <wp:extent cx="189230" cy="189230"/>
                  <wp:effectExtent l="0" t="0" r="1270" b="1270"/>
                  <wp:docPr id="44" name="Picture 4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576EFE"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 </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FC312F"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FC312F"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FC312F" w:rsidRDefault="00E138DF" w:rsidP="00BC0516">
            <w:pPr>
              <w:rPr>
                <w:rFonts w:ascii="Times New Roman" w:eastAsia="Times New Roman" w:hAnsi="Times New Roman"/>
                <w:b/>
                <w:color w:val="005E20"/>
                <w:szCs w:val="16"/>
                <w:lang w:eastAsia="ja-JP"/>
              </w:rPr>
            </w:pPr>
            <w:r>
              <w:pict>
                <v:shape id="_x0000_i1032" type="#_x0000_t75" alt="Denotes no findings" style="width:15pt;height:15pt;visibility:visible;mso-wrap-style:square">
                  <v:imagedata r:id="rId10" o:title="Denotes no findings"/>
                </v:shape>
              </w:pict>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2032A0">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FC312F"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lastRenderedPageBreak/>
              <w:t>Competitive Foods</w:t>
            </w:r>
          </w:p>
        </w:tc>
        <w:tc>
          <w:tcPr>
            <w:tcW w:w="4669" w:type="dxa"/>
            <w:vAlign w:val="center"/>
          </w:tcPr>
          <w:p w:rsidR="006475A6" w:rsidRPr="00FC312F"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FC312F"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bookmarkStart w:id="0" w:name="_GoBack"/>
            <w:bookmarkEnd w:id="0"/>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5F" w:rsidRDefault="00F32B5F" w:rsidP="00EA0AD0">
      <w:pPr>
        <w:spacing w:before="0" w:after="0"/>
      </w:pPr>
      <w:r>
        <w:separator/>
      </w:r>
    </w:p>
  </w:endnote>
  <w:endnote w:type="continuationSeparator" w:id="0">
    <w:p w:rsidR="00F32B5F" w:rsidRDefault="00F32B5F"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5F" w:rsidRDefault="00F32B5F" w:rsidP="00EA0AD0">
      <w:pPr>
        <w:spacing w:before="0" w:after="0"/>
      </w:pPr>
      <w:r>
        <w:separator/>
      </w:r>
    </w:p>
  </w:footnote>
  <w:footnote w:type="continuationSeparator" w:id="0">
    <w:p w:rsidR="00F32B5F" w:rsidRDefault="00F32B5F"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1.75pt;visibility:visible;mso-wrap-style:square" o:bullet="t">
        <v:imagedata r:id="rId1" o:title=""/>
      </v:shape>
    </w:pict>
  </w:numPicBullet>
  <w:numPicBullet w:numPicBulletId="1">
    <w:pict>
      <v:shape id="_x0000_i1027" type="#_x0000_t75" alt="Denotes no findings" style="width:15pt;height:15pt;visibility:visible;mso-wrap-style:square" o:bullet="t">
        <v:imagedata r:id="rId2" o:title="Denotes no findings"/>
      </v:shape>
    </w:pict>
  </w:numPicBullet>
  <w:numPicBullet w:numPicBulletId="2">
    <w:pict>
      <v:shape id="_x0000_i1028" type="#_x0000_t75" alt="Denotes findings identified" style="width:21.75pt;height:21.75pt;visibility:visible;mso-wrap-style:square" o:bullet="t">
        <v:imagedata r:id="rId3" o:title="Denotes findings identified"/>
      </v:shape>
    </w:pict>
  </w:numPicBullet>
  <w:numPicBullet w:numPicBulletId="3">
    <w:pict>
      <v:shape id="_x0000_i1029" type="#_x0000_t75" style="width:15.75pt;height:15.75pt;visibility:visible;mso-wrap-style:square" o:bullet="t">
        <v:imagedata r:id="rId4" o:title=""/>
      </v:shape>
    </w:pict>
  </w:numPicBullet>
  <w:numPicBullet w:numPicBulletId="4">
    <w:pict>
      <v:shape id="_x0000_i1030" type="#_x0000_t75" style="width:15pt;height:15pt;visibility:visible;mso-wrap-style:square" o:bullet="t">
        <v:imagedata r:id="rId5" o:title=""/>
      </v:shape>
    </w:pict>
  </w:numPicBullet>
  <w:numPicBullet w:numPicBulletId="5">
    <w:pict>
      <v:shape id="_x0000_i1031" type="#_x0000_t75" alt="Denotes no findings" style="width:15pt;height:15pt;visibility:visible;mso-wrap-style:square" o:bullet="t">
        <v:imagedata r:id="rId6" o:title="Denotes no findings"/>
      </v:shape>
    </w:pict>
  </w:numPicBullet>
  <w:numPicBullet w:numPicBulletId="6">
    <w:pict>
      <v:shape id="_x0000_i1032"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B0603"/>
    <w:rsid w:val="001F75BE"/>
    <w:rsid w:val="002032A0"/>
    <w:rsid w:val="00217886"/>
    <w:rsid w:val="00260CA2"/>
    <w:rsid w:val="00265D36"/>
    <w:rsid w:val="00274A66"/>
    <w:rsid w:val="002D2FED"/>
    <w:rsid w:val="002D4167"/>
    <w:rsid w:val="0031611E"/>
    <w:rsid w:val="0032739D"/>
    <w:rsid w:val="003507AB"/>
    <w:rsid w:val="003C5AEE"/>
    <w:rsid w:val="00464DF8"/>
    <w:rsid w:val="004A5012"/>
    <w:rsid w:val="004C04E4"/>
    <w:rsid w:val="004C18F7"/>
    <w:rsid w:val="004D45AD"/>
    <w:rsid w:val="00527106"/>
    <w:rsid w:val="00576EFE"/>
    <w:rsid w:val="00593DA0"/>
    <w:rsid w:val="005C2719"/>
    <w:rsid w:val="005E617A"/>
    <w:rsid w:val="005E72E8"/>
    <w:rsid w:val="006070B4"/>
    <w:rsid w:val="00620948"/>
    <w:rsid w:val="006475A6"/>
    <w:rsid w:val="00690A00"/>
    <w:rsid w:val="00694D91"/>
    <w:rsid w:val="006C3986"/>
    <w:rsid w:val="006D0B91"/>
    <w:rsid w:val="006E68D8"/>
    <w:rsid w:val="00705097"/>
    <w:rsid w:val="0073582B"/>
    <w:rsid w:val="00767813"/>
    <w:rsid w:val="007B68D3"/>
    <w:rsid w:val="007D26AA"/>
    <w:rsid w:val="007D3AFD"/>
    <w:rsid w:val="007F1384"/>
    <w:rsid w:val="00806AE0"/>
    <w:rsid w:val="00846C3D"/>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62C03"/>
    <w:rsid w:val="00BC0516"/>
    <w:rsid w:val="00C450BF"/>
    <w:rsid w:val="00C55670"/>
    <w:rsid w:val="00C75889"/>
    <w:rsid w:val="00CC5420"/>
    <w:rsid w:val="00D8766D"/>
    <w:rsid w:val="00DB68F3"/>
    <w:rsid w:val="00DD07D9"/>
    <w:rsid w:val="00DE1159"/>
    <w:rsid w:val="00DF70F6"/>
    <w:rsid w:val="00E138DF"/>
    <w:rsid w:val="00E63DC5"/>
    <w:rsid w:val="00E71C1B"/>
    <w:rsid w:val="00E74FFA"/>
    <w:rsid w:val="00EA0AD0"/>
    <w:rsid w:val="00EB6A3E"/>
    <w:rsid w:val="00EC4887"/>
    <w:rsid w:val="00EC4C76"/>
    <w:rsid w:val="00EF1C86"/>
    <w:rsid w:val="00EF640A"/>
    <w:rsid w:val="00F04C94"/>
    <w:rsid w:val="00F205EF"/>
    <w:rsid w:val="00F32B5F"/>
    <w:rsid w:val="00F570B2"/>
    <w:rsid w:val="00F60239"/>
    <w:rsid w:val="00F70D82"/>
    <w:rsid w:val="00F93689"/>
    <w:rsid w:val="00FB055E"/>
    <w:rsid w:val="00FC03D3"/>
    <w:rsid w:val="00FC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7F0FD"/>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D0EE0-79C1-47CC-9023-63FFA45D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Solutions that Empower People FPAR Summary</vt:lpstr>
    </vt:vector>
  </TitlesOfParts>
  <Company>Virginia IT Infrastructure Partnership</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that Empower People FPAR Summary</dc:title>
  <dc:subject>Nutrition</dc:subject>
  <dc:creator>DOE - NUTRITION (DOE)</dc:creator>
  <cp:lastModifiedBy>Bowman, Kelly (DOE)</cp:lastModifiedBy>
  <cp:revision>3</cp:revision>
  <cp:lastPrinted>2018-03-27T12:01:00Z</cp:lastPrinted>
  <dcterms:created xsi:type="dcterms:W3CDTF">2018-04-06T14:07:00Z</dcterms:created>
  <dcterms:modified xsi:type="dcterms:W3CDTF">2018-04-06T14:10:00Z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