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7C9" w:rsidRPr="006D27C9" w:rsidRDefault="006D27C9" w:rsidP="006D27C9">
      <w:pPr>
        <w:spacing w:after="0" w:line="288" w:lineRule="atLeast"/>
        <w:textAlignment w:val="baseline"/>
        <w:outlineLvl w:val="1"/>
        <w:rPr>
          <w:rFonts w:ascii="Times" w:eastAsia="Times New Roman" w:hAnsi="Times" w:cs="Times"/>
          <w:color w:val="444444"/>
          <w:sz w:val="31"/>
          <w:szCs w:val="31"/>
        </w:rPr>
      </w:pPr>
      <w:r w:rsidRPr="006D27C9">
        <w:rPr>
          <w:rFonts w:ascii="Times" w:eastAsia="Times New Roman" w:hAnsi="Times" w:cs="Times"/>
          <w:color w:val="444444"/>
          <w:sz w:val="31"/>
          <w:szCs w:val="31"/>
          <w:bdr w:val="none" w:sz="0" w:space="0" w:color="auto" w:frame="1"/>
        </w:rPr>
        <w:t>§ 46.2-325</w:t>
      </w:r>
      <w:r w:rsidRPr="006D27C9">
        <w:rPr>
          <w:rFonts w:ascii="Times" w:eastAsia="Times New Roman" w:hAnsi="Times" w:cs="Times"/>
          <w:color w:val="444444"/>
          <w:sz w:val="31"/>
          <w:szCs w:val="31"/>
        </w:rPr>
        <w:t>. Examination of applicants; waiver of Department's examination under certain circumstances; behind-the-wheel and knowledge examinations.</w:t>
      </w:r>
    </w:p>
    <w:p w:rsidR="006D27C9" w:rsidRPr="006D27C9" w:rsidRDefault="006D27C9" w:rsidP="006D27C9">
      <w:pPr>
        <w:spacing w:after="0" w:line="240" w:lineRule="auto"/>
        <w:textAlignment w:val="baseline"/>
        <w:rPr>
          <w:rFonts w:ascii="Times New Roman" w:eastAsia="Times New Roman" w:hAnsi="Times New Roman" w:cs="Times New Roman"/>
          <w:sz w:val="24"/>
          <w:szCs w:val="24"/>
        </w:rPr>
      </w:pPr>
      <w:r w:rsidRPr="006D27C9">
        <w:rPr>
          <w:rFonts w:ascii="Times New Roman" w:eastAsia="Times New Roman" w:hAnsi="Times New Roman" w:cs="Times New Roman"/>
          <w:sz w:val="24"/>
          <w:szCs w:val="24"/>
        </w:rPr>
        <w:t>A. The Department shall examine every applicant for a driver's license before issuing any license to determine (</w:t>
      </w:r>
      <w:proofErr w:type="spellStart"/>
      <w:r w:rsidRPr="006D27C9">
        <w:rPr>
          <w:rFonts w:ascii="Times New Roman" w:eastAsia="Times New Roman" w:hAnsi="Times New Roman" w:cs="Times New Roman"/>
          <w:sz w:val="24"/>
          <w:szCs w:val="24"/>
        </w:rPr>
        <w:t>i</w:t>
      </w:r>
      <w:proofErr w:type="spellEnd"/>
      <w:r w:rsidRPr="006D27C9">
        <w:rPr>
          <w:rFonts w:ascii="Times New Roman" w:eastAsia="Times New Roman" w:hAnsi="Times New Roman" w:cs="Times New Roman"/>
          <w:sz w:val="24"/>
          <w:szCs w:val="24"/>
        </w:rPr>
        <w:t>) his physical and mental qualifications and his ability to drive a motor vehicle without jeopardizing the safety of persons or property and (ii) if any facts exist which would bar the issuance of a license under §§ </w:t>
      </w:r>
      <w:hyperlink r:id="rId4" w:history="1">
        <w:r w:rsidRPr="006D27C9">
          <w:rPr>
            <w:rFonts w:ascii="Times New Roman" w:eastAsia="Times New Roman" w:hAnsi="Times New Roman" w:cs="Times New Roman"/>
            <w:color w:val="3498DB"/>
            <w:sz w:val="24"/>
            <w:szCs w:val="24"/>
            <w:u w:val="single"/>
            <w:bdr w:val="none" w:sz="0" w:space="0" w:color="auto" w:frame="1"/>
          </w:rPr>
          <w:t>46.2-311</w:t>
        </w:r>
      </w:hyperlink>
      <w:r w:rsidRPr="006D27C9">
        <w:rPr>
          <w:rFonts w:ascii="Times New Roman" w:eastAsia="Times New Roman" w:hAnsi="Times New Roman" w:cs="Times New Roman"/>
          <w:sz w:val="24"/>
          <w:szCs w:val="24"/>
        </w:rPr>
        <w:t> through </w:t>
      </w:r>
      <w:hyperlink r:id="rId5" w:history="1">
        <w:r w:rsidRPr="006D27C9">
          <w:rPr>
            <w:rFonts w:ascii="Times New Roman" w:eastAsia="Times New Roman" w:hAnsi="Times New Roman" w:cs="Times New Roman"/>
            <w:color w:val="3498DB"/>
            <w:sz w:val="24"/>
            <w:szCs w:val="24"/>
            <w:u w:val="single"/>
            <w:bdr w:val="none" w:sz="0" w:space="0" w:color="auto" w:frame="1"/>
          </w:rPr>
          <w:t>46.2-316</w:t>
        </w:r>
      </w:hyperlink>
      <w:r w:rsidRPr="006D27C9">
        <w:rPr>
          <w:rFonts w:ascii="Times New Roman" w:eastAsia="Times New Roman" w:hAnsi="Times New Roman" w:cs="Times New Roman"/>
          <w:sz w:val="24"/>
          <w:szCs w:val="24"/>
        </w:rPr>
        <w:t>, </w:t>
      </w:r>
      <w:hyperlink r:id="rId6" w:history="1">
        <w:r w:rsidRPr="006D27C9">
          <w:rPr>
            <w:rFonts w:ascii="Times New Roman" w:eastAsia="Times New Roman" w:hAnsi="Times New Roman" w:cs="Times New Roman"/>
            <w:color w:val="3498DB"/>
            <w:sz w:val="24"/>
            <w:szCs w:val="24"/>
            <w:u w:val="single"/>
            <w:bdr w:val="none" w:sz="0" w:space="0" w:color="auto" w:frame="1"/>
          </w:rPr>
          <w:t>46.2-334</w:t>
        </w:r>
      </w:hyperlink>
      <w:r w:rsidRPr="006D27C9">
        <w:rPr>
          <w:rFonts w:ascii="Times New Roman" w:eastAsia="Times New Roman" w:hAnsi="Times New Roman" w:cs="Times New Roman"/>
          <w:sz w:val="24"/>
          <w:szCs w:val="24"/>
        </w:rPr>
        <w:t>, or </w:t>
      </w:r>
      <w:hyperlink r:id="rId7" w:history="1">
        <w:r w:rsidRPr="006D27C9">
          <w:rPr>
            <w:rFonts w:ascii="Times New Roman" w:eastAsia="Times New Roman" w:hAnsi="Times New Roman" w:cs="Times New Roman"/>
            <w:color w:val="3498DB"/>
            <w:sz w:val="24"/>
            <w:szCs w:val="24"/>
            <w:u w:val="single"/>
            <w:bdr w:val="none" w:sz="0" w:space="0" w:color="auto" w:frame="1"/>
          </w:rPr>
          <w:t>46.2-335</w:t>
        </w:r>
      </w:hyperlink>
      <w:r w:rsidRPr="006D27C9">
        <w:rPr>
          <w:rFonts w:ascii="Times New Roman" w:eastAsia="Times New Roman" w:hAnsi="Times New Roman" w:cs="Times New Roman"/>
          <w:sz w:val="24"/>
          <w:szCs w:val="24"/>
        </w:rPr>
        <w:t>. The examination, however, shall not include investigation of any facts other than those directly pertaining to the ability of the applicant to drive a motor vehicle with safety, or other than those facts declared to be prerequisite to the issuance of a license under this chapter. No applicant otherwise competent shall be required to demonstrate ability to park any motor vehicle except in an adequate parking space between horizontal markers, and not between flags or sticks simulating parked vehicles. Except as provided for in § </w:t>
      </w:r>
      <w:hyperlink r:id="rId8" w:history="1">
        <w:r w:rsidRPr="006D27C9">
          <w:rPr>
            <w:rFonts w:ascii="Times New Roman" w:eastAsia="Times New Roman" w:hAnsi="Times New Roman" w:cs="Times New Roman"/>
            <w:color w:val="3498DB"/>
            <w:sz w:val="24"/>
            <w:szCs w:val="24"/>
            <w:u w:val="single"/>
            <w:bdr w:val="none" w:sz="0" w:space="0" w:color="auto" w:frame="1"/>
          </w:rPr>
          <w:t>46.2-337</w:t>
        </w:r>
      </w:hyperlink>
      <w:r w:rsidRPr="006D27C9">
        <w:rPr>
          <w:rFonts w:ascii="Times New Roman" w:eastAsia="Times New Roman" w:hAnsi="Times New Roman" w:cs="Times New Roman"/>
          <w:sz w:val="24"/>
          <w:szCs w:val="24"/>
        </w:rPr>
        <w:t>, applicants for licensure to drive motor vehicles of the classifications referred to in § </w:t>
      </w:r>
      <w:hyperlink r:id="rId9" w:history="1">
        <w:r w:rsidRPr="006D27C9">
          <w:rPr>
            <w:rFonts w:ascii="Times New Roman" w:eastAsia="Times New Roman" w:hAnsi="Times New Roman" w:cs="Times New Roman"/>
            <w:color w:val="3498DB"/>
            <w:sz w:val="24"/>
            <w:szCs w:val="24"/>
            <w:u w:val="single"/>
            <w:bdr w:val="none" w:sz="0" w:space="0" w:color="auto" w:frame="1"/>
          </w:rPr>
          <w:t>46.2-328</w:t>
        </w:r>
      </w:hyperlink>
      <w:r w:rsidRPr="006D27C9">
        <w:rPr>
          <w:rFonts w:ascii="Times New Roman" w:eastAsia="Times New Roman" w:hAnsi="Times New Roman" w:cs="Times New Roman"/>
          <w:sz w:val="24"/>
          <w:szCs w:val="24"/>
        </w:rPr>
        <w:t> shall submit to examinations which relate to the operation of those vehicles. The motor vehicle to be used by the applicant for the behind-the-wheel examination shall meet the safety and equipment requirements specified in Chapter 10 (§ </w:t>
      </w:r>
      <w:hyperlink r:id="rId10" w:history="1">
        <w:r w:rsidRPr="006D27C9">
          <w:rPr>
            <w:rFonts w:ascii="Times New Roman" w:eastAsia="Times New Roman" w:hAnsi="Times New Roman" w:cs="Times New Roman"/>
            <w:color w:val="3498DB"/>
            <w:sz w:val="24"/>
            <w:szCs w:val="24"/>
            <w:u w:val="single"/>
            <w:bdr w:val="none" w:sz="0" w:space="0" w:color="auto" w:frame="1"/>
          </w:rPr>
          <w:t>46.2-1000</w:t>
        </w:r>
      </w:hyperlink>
      <w:r w:rsidRPr="006D27C9">
        <w:rPr>
          <w:rFonts w:ascii="Times New Roman" w:eastAsia="Times New Roman" w:hAnsi="Times New Roman" w:cs="Times New Roman"/>
          <w:sz w:val="24"/>
          <w:szCs w:val="24"/>
        </w:rPr>
        <w:t> et seq.) and possess a valid inspection sticker as required pursuant to § </w:t>
      </w:r>
      <w:hyperlink r:id="rId11" w:history="1">
        <w:r w:rsidRPr="006D27C9">
          <w:rPr>
            <w:rFonts w:ascii="Times New Roman" w:eastAsia="Times New Roman" w:hAnsi="Times New Roman" w:cs="Times New Roman"/>
            <w:color w:val="3498DB"/>
            <w:sz w:val="24"/>
            <w:szCs w:val="24"/>
            <w:u w:val="single"/>
            <w:bdr w:val="none" w:sz="0" w:space="0" w:color="auto" w:frame="1"/>
          </w:rPr>
          <w:t>46.2-1157</w:t>
        </w:r>
      </w:hyperlink>
      <w:r w:rsidRPr="006D27C9">
        <w:rPr>
          <w:rFonts w:ascii="Times New Roman" w:eastAsia="Times New Roman" w:hAnsi="Times New Roman" w:cs="Times New Roman"/>
          <w:sz w:val="24"/>
          <w:szCs w:val="24"/>
        </w:rPr>
        <w:t xml:space="preserve">. An </w:t>
      </w:r>
      <w:proofErr w:type="spellStart"/>
      <w:r w:rsidRPr="006D27C9">
        <w:rPr>
          <w:rFonts w:ascii="Times New Roman" w:eastAsia="Times New Roman" w:hAnsi="Times New Roman" w:cs="Times New Roman"/>
          <w:sz w:val="24"/>
          <w:szCs w:val="24"/>
        </w:rPr>
        <w:t>autocycle</w:t>
      </w:r>
      <w:proofErr w:type="spellEnd"/>
      <w:r w:rsidRPr="006D27C9">
        <w:rPr>
          <w:rFonts w:ascii="Times New Roman" w:eastAsia="Times New Roman" w:hAnsi="Times New Roman" w:cs="Times New Roman"/>
          <w:sz w:val="24"/>
          <w:szCs w:val="24"/>
        </w:rPr>
        <w:t xml:space="preserve"> shall not be used by the applicant for a behind-the-wheel examination.</w:t>
      </w:r>
    </w:p>
    <w:p w:rsidR="006D27C9" w:rsidRPr="006D27C9" w:rsidRDefault="006D27C9" w:rsidP="006D27C9">
      <w:pPr>
        <w:spacing w:after="0" w:line="240" w:lineRule="auto"/>
        <w:textAlignment w:val="baseline"/>
        <w:rPr>
          <w:rFonts w:ascii="Times New Roman" w:eastAsia="Times New Roman" w:hAnsi="Times New Roman" w:cs="Times New Roman"/>
          <w:sz w:val="24"/>
          <w:szCs w:val="24"/>
        </w:rPr>
      </w:pPr>
      <w:r w:rsidRPr="006D27C9">
        <w:rPr>
          <w:rFonts w:ascii="Times New Roman" w:eastAsia="Times New Roman" w:hAnsi="Times New Roman" w:cs="Times New Roman"/>
          <w:sz w:val="24"/>
          <w:szCs w:val="24"/>
        </w:rPr>
        <w:t>Prior to taking the examination, the applicant shall either (a) present evidence that the applicant has completed a state-approved driver education class pursuant to the provisions of § </w:t>
      </w:r>
      <w:hyperlink r:id="rId12" w:history="1">
        <w:r w:rsidRPr="006D27C9">
          <w:rPr>
            <w:rFonts w:ascii="Times New Roman" w:eastAsia="Times New Roman" w:hAnsi="Times New Roman" w:cs="Times New Roman"/>
            <w:color w:val="3498DB"/>
            <w:sz w:val="24"/>
            <w:szCs w:val="24"/>
            <w:u w:val="single"/>
            <w:bdr w:val="none" w:sz="0" w:space="0" w:color="auto" w:frame="1"/>
          </w:rPr>
          <w:t>46.2-324.1</w:t>
        </w:r>
      </w:hyperlink>
      <w:r w:rsidRPr="006D27C9">
        <w:rPr>
          <w:rFonts w:ascii="Times New Roman" w:eastAsia="Times New Roman" w:hAnsi="Times New Roman" w:cs="Times New Roman"/>
          <w:sz w:val="24"/>
          <w:szCs w:val="24"/>
        </w:rPr>
        <w:t> or </w:t>
      </w:r>
      <w:hyperlink r:id="rId13" w:history="1">
        <w:r w:rsidRPr="006D27C9">
          <w:rPr>
            <w:rFonts w:ascii="Times New Roman" w:eastAsia="Times New Roman" w:hAnsi="Times New Roman" w:cs="Times New Roman"/>
            <w:color w:val="3498DB"/>
            <w:sz w:val="24"/>
            <w:szCs w:val="24"/>
            <w:u w:val="single"/>
            <w:bdr w:val="none" w:sz="0" w:space="0" w:color="auto" w:frame="1"/>
          </w:rPr>
          <w:t>46.2-334</w:t>
        </w:r>
      </w:hyperlink>
      <w:r w:rsidRPr="006D27C9">
        <w:rPr>
          <w:rFonts w:ascii="Times New Roman" w:eastAsia="Times New Roman" w:hAnsi="Times New Roman" w:cs="Times New Roman"/>
          <w:sz w:val="24"/>
          <w:szCs w:val="24"/>
        </w:rPr>
        <w:t> or (b) submit to the examiner a behind-the-wheel maneuvers checklist, on a form provided by the Department, that describes the vehicle maneuvers the applicant may be expected to perform while taking the behind-the-wheel examination, that has been signed by a licensed driver, certifying that the applicant has practiced the driving maneuvers contained and described therein, and that has been signed by the applicant certifying that, at all times while holding a learner's permit, the applicant has complied with the provisions of § </w:t>
      </w:r>
      <w:hyperlink r:id="rId14" w:history="1">
        <w:r w:rsidRPr="006D27C9">
          <w:rPr>
            <w:rFonts w:ascii="Times New Roman" w:eastAsia="Times New Roman" w:hAnsi="Times New Roman" w:cs="Times New Roman"/>
            <w:color w:val="3498DB"/>
            <w:sz w:val="24"/>
            <w:szCs w:val="24"/>
            <w:u w:val="single"/>
            <w:bdr w:val="none" w:sz="0" w:space="0" w:color="auto" w:frame="1"/>
          </w:rPr>
          <w:t>46.2-335</w:t>
        </w:r>
      </w:hyperlink>
      <w:r w:rsidRPr="006D27C9">
        <w:rPr>
          <w:rFonts w:ascii="Times New Roman" w:eastAsia="Times New Roman" w:hAnsi="Times New Roman" w:cs="Times New Roman"/>
          <w:sz w:val="24"/>
          <w:szCs w:val="24"/>
        </w:rPr>
        <w:t> while operating a motor vehicle.</w:t>
      </w:r>
    </w:p>
    <w:p w:rsidR="006D27C9" w:rsidRPr="006D27C9" w:rsidRDefault="006D27C9" w:rsidP="006D27C9">
      <w:pPr>
        <w:spacing w:after="0" w:line="240" w:lineRule="auto"/>
        <w:textAlignment w:val="baseline"/>
        <w:rPr>
          <w:rFonts w:ascii="Times New Roman" w:eastAsia="Times New Roman" w:hAnsi="Times New Roman" w:cs="Times New Roman"/>
          <w:sz w:val="24"/>
          <w:szCs w:val="24"/>
        </w:rPr>
      </w:pPr>
      <w:r w:rsidRPr="006D27C9">
        <w:rPr>
          <w:rFonts w:ascii="Times New Roman" w:eastAsia="Times New Roman" w:hAnsi="Times New Roman" w:cs="Times New Roman"/>
          <w:sz w:val="24"/>
          <w:szCs w:val="24"/>
        </w:rPr>
        <w:t>Except for applicants subject to § </w:t>
      </w:r>
      <w:hyperlink r:id="rId15" w:history="1">
        <w:r w:rsidRPr="006D27C9">
          <w:rPr>
            <w:rFonts w:ascii="Times New Roman" w:eastAsia="Times New Roman" w:hAnsi="Times New Roman" w:cs="Times New Roman"/>
            <w:color w:val="3498DB"/>
            <w:sz w:val="24"/>
            <w:szCs w:val="24"/>
            <w:u w:val="single"/>
            <w:bdr w:val="none" w:sz="0" w:space="0" w:color="auto" w:frame="1"/>
          </w:rPr>
          <w:t>46.2-312</w:t>
        </w:r>
      </w:hyperlink>
      <w:r w:rsidRPr="006D27C9">
        <w:rPr>
          <w:rFonts w:ascii="Times New Roman" w:eastAsia="Times New Roman" w:hAnsi="Times New Roman" w:cs="Times New Roman"/>
          <w:sz w:val="24"/>
          <w:szCs w:val="24"/>
        </w:rPr>
        <w:t>, if the Commissioner is satisfied that an applicant has demonstrated the same proficiency as required by the Department's examination through successful completion of either (1) the driver education course approved by the Department of Education or (2) a driver training course offered by a driver training school licensed under Chapter 17 (§ </w:t>
      </w:r>
      <w:hyperlink r:id="rId16" w:history="1">
        <w:r w:rsidRPr="006D27C9">
          <w:rPr>
            <w:rFonts w:ascii="Times New Roman" w:eastAsia="Times New Roman" w:hAnsi="Times New Roman" w:cs="Times New Roman"/>
            <w:color w:val="3498DB"/>
            <w:sz w:val="24"/>
            <w:szCs w:val="24"/>
            <w:u w:val="single"/>
            <w:bdr w:val="none" w:sz="0" w:space="0" w:color="auto" w:frame="1"/>
          </w:rPr>
          <w:t>46.2-1700</w:t>
        </w:r>
      </w:hyperlink>
      <w:r w:rsidRPr="006D27C9">
        <w:rPr>
          <w:rFonts w:ascii="Times New Roman" w:eastAsia="Times New Roman" w:hAnsi="Times New Roman" w:cs="Times New Roman"/>
          <w:sz w:val="24"/>
          <w:szCs w:val="24"/>
        </w:rPr>
        <w:t> et seq.), he may waive those parts of the Department's examination provided for in this section that require the applicant to drive and park a motor vehicle.</w:t>
      </w:r>
    </w:p>
    <w:p w:rsidR="006D27C9" w:rsidRPr="006D27C9" w:rsidRDefault="006D27C9" w:rsidP="006D27C9">
      <w:pPr>
        <w:spacing w:after="0" w:line="240" w:lineRule="auto"/>
        <w:textAlignment w:val="baseline"/>
        <w:rPr>
          <w:rFonts w:ascii="Times New Roman" w:eastAsia="Times New Roman" w:hAnsi="Times New Roman" w:cs="Times New Roman"/>
          <w:sz w:val="24"/>
          <w:szCs w:val="24"/>
        </w:rPr>
      </w:pPr>
      <w:r w:rsidRPr="006D27C9">
        <w:rPr>
          <w:rFonts w:ascii="Times New Roman" w:eastAsia="Times New Roman" w:hAnsi="Times New Roman" w:cs="Times New Roman"/>
          <w:sz w:val="24"/>
          <w:szCs w:val="24"/>
        </w:rPr>
        <w:t>B. Any person who fails the behind-the-wheel examination for a driver's license administered by the Department shall wait two days before being permitted to take another such examination. No person who fails the behind-the-wheel examination for a driver's license administered by the Department three times shall be permitted to take such examination a fourth time until he successfully completes, subsequent to the third examination failure, the in-vehicle component of driver instruction at a driver training school licensed under Chapter 17 (§ </w:t>
      </w:r>
      <w:hyperlink r:id="rId17" w:history="1">
        <w:r w:rsidRPr="006D27C9">
          <w:rPr>
            <w:rFonts w:ascii="Times New Roman" w:eastAsia="Times New Roman" w:hAnsi="Times New Roman" w:cs="Times New Roman"/>
            <w:color w:val="3498DB"/>
            <w:sz w:val="24"/>
            <w:szCs w:val="24"/>
            <w:u w:val="single"/>
            <w:bdr w:val="none" w:sz="0" w:space="0" w:color="auto" w:frame="1"/>
          </w:rPr>
          <w:t>46.2-1700</w:t>
        </w:r>
      </w:hyperlink>
      <w:r w:rsidRPr="006D27C9">
        <w:rPr>
          <w:rFonts w:ascii="Times New Roman" w:eastAsia="Times New Roman" w:hAnsi="Times New Roman" w:cs="Times New Roman"/>
          <w:sz w:val="24"/>
          <w:szCs w:val="24"/>
        </w:rPr>
        <w:t> et seq.) or a comparable course approved by the Department or the Department of Education. In addition, no person who fails the driver knowledge examination for a driver's license administered by the Department three times shall be permitted to take such examination a fourth time until he successfully completes, subsequent to the third examination failure, the classroom component of driver instruction at a driver training school licensed under Chapter 17 (§ </w:t>
      </w:r>
      <w:hyperlink r:id="rId18" w:history="1">
        <w:r w:rsidRPr="006D27C9">
          <w:rPr>
            <w:rFonts w:ascii="Times New Roman" w:eastAsia="Times New Roman" w:hAnsi="Times New Roman" w:cs="Times New Roman"/>
            <w:color w:val="3498DB"/>
            <w:sz w:val="24"/>
            <w:szCs w:val="24"/>
            <w:u w:val="single"/>
            <w:bdr w:val="none" w:sz="0" w:space="0" w:color="auto" w:frame="1"/>
          </w:rPr>
          <w:t>46.2-1700</w:t>
        </w:r>
      </w:hyperlink>
      <w:r w:rsidRPr="006D27C9">
        <w:rPr>
          <w:rFonts w:ascii="Times New Roman" w:eastAsia="Times New Roman" w:hAnsi="Times New Roman" w:cs="Times New Roman"/>
          <w:sz w:val="24"/>
          <w:szCs w:val="24"/>
        </w:rPr>
        <w:t> et seq.) or a comparable course approved by the Department or the Department of Education or, for (</w:t>
      </w:r>
      <w:proofErr w:type="spellStart"/>
      <w:r w:rsidRPr="006D27C9">
        <w:rPr>
          <w:rFonts w:ascii="Times New Roman" w:eastAsia="Times New Roman" w:hAnsi="Times New Roman" w:cs="Times New Roman"/>
          <w:sz w:val="24"/>
          <w:szCs w:val="24"/>
        </w:rPr>
        <w:t>i</w:t>
      </w:r>
      <w:proofErr w:type="spellEnd"/>
      <w:r w:rsidRPr="006D27C9">
        <w:rPr>
          <w:rFonts w:ascii="Times New Roman" w:eastAsia="Times New Roman" w:hAnsi="Times New Roman" w:cs="Times New Roman"/>
          <w:sz w:val="24"/>
          <w:szCs w:val="24"/>
        </w:rPr>
        <w:t xml:space="preserve">) </w:t>
      </w:r>
      <w:r w:rsidRPr="006D27C9">
        <w:rPr>
          <w:rFonts w:ascii="Times New Roman" w:eastAsia="Times New Roman" w:hAnsi="Times New Roman" w:cs="Times New Roman"/>
          <w:sz w:val="24"/>
          <w:szCs w:val="24"/>
        </w:rPr>
        <w:lastRenderedPageBreak/>
        <w:t>persons at least 18 years old or (ii) persons less than 18 years old who have previously completed the classroom component of driver instruction, a course of instruction based on the Virginia Driver's Manual, which may be conducted in a classroom or online, offered by a driver training school licensed under Chapter 17 (§ </w:t>
      </w:r>
      <w:hyperlink r:id="rId19" w:history="1">
        <w:r w:rsidRPr="006D27C9">
          <w:rPr>
            <w:rFonts w:ascii="Times New Roman" w:eastAsia="Times New Roman" w:hAnsi="Times New Roman" w:cs="Times New Roman"/>
            <w:color w:val="3498DB"/>
            <w:sz w:val="24"/>
            <w:szCs w:val="24"/>
            <w:u w:val="single"/>
            <w:bdr w:val="none" w:sz="0" w:space="0" w:color="auto" w:frame="1"/>
          </w:rPr>
          <w:t>46.2-1700</w:t>
        </w:r>
      </w:hyperlink>
      <w:r w:rsidRPr="006D27C9">
        <w:rPr>
          <w:rFonts w:ascii="Times New Roman" w:eastAsia="Times New Roman" w:hAnsi="Times New Roman" w:cs="Times New Roman"/>
          <w:sz w:val="24"/>
          <w:szCs w:val="24"/>
        </w:rPr>
        <w:t> et seq.) or a comparable course approved by the Department or the Department of Education. Providers of the Virginia Driver's Manual course online shall ensure that the certificate of completion is issued to the same person who took the course in a manner prescribed by the Department. All persons required to complete the in-vehicle component of driver instruction or the classroom component of driver instruction pursuant to this section shall be required after successful completion of the necessary courses to have the applicable examination administered by the Department.</w:t>
      </w:r>
    </w:p>
    <w:p w:rsidR="006D27C9" w:rsidRPr="006D27C9" w:rsidRDefault="006D27C9" w:rsidP="006D27C9">
      <w:pPr>
        <w:spacing w:after="0" w:line="240" w:lineRule="auto"/>
        <w:textAlignment w:val="baseline"/>
        <w:rPr>
          <w:rFonts w:ascii="Times New Roman" w:eastAsia="Times New Roman" w:hAnsi="Times New Roman" w:cs="Times New Roman"/>
          <w:sz w:val="24"/>
          <w:szCs w:val="24"/>
        </w:rPr>
      </w:pPr>
      <w:r w:rsidRPr="006D27C9">
        <w:rPr>
          <w:rFonts w:ascii="Times New Roman" w:eastAsia="Times New Roman" w:hAnsi="Times New Roman" w:cs="Times New Roman"/>
          <w:sz w:val="24"/>
          <w:szCs w:val="24"/>
        </w:rPr>
        <w:t>The provisions of this subsection shall not apply to persons placed under medical control by the Department pursuant to § </w:t>
      </w:r>
      <w:hyperlink r:id="rId20" w:history="1">
        <w:r w:rsidRPr="006D27C9">
          <w:rPr>
            <w:rFonts w:ascii="Times New Roman" w:eastAsia="Times New Roman" w:hAnsi="Times New Roman" w:cs="Times New Roman"/>
            <w:color w:val="3498DB"/>
            <w:sz w:val="24"/>
            <w:szCs w:val="24"/>
            <w:u w:val="single"/>
            <w:bdr w:val="none" w:sz="0" w:space="0" w:color="auto" w:frame="1"/>
          </w:rPr>
          <w:t>46.2-322</w:t>
        </w:r>
      </w:hyperlink>
      <w:r w:rsidRPr="006D27C9">
        <w:rPr>
          <w:rFonts w:ascii="Times New Roman" w:eastAsia="Times New Roman" w:hAnsi="Times New Roman" w:cs="Times New Roman"/>
          <w:sz w:val="24"/>
          <w:szCs w:val="24"/>
        </w:rPr>
        <w:t>.</w:t>
      </w:r>
    </w:p>
    <w:p w:rsidR="00921434" w:rsidRDefault="00921434">
      <w:bookmarkStart w:id="0" w:name="_GoBack"/>
      <w:bookmarkEnd w:id="0"/>
    </w:p>
    <w:sectPr w:rsidR="009214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7C9"/>
    <w:rsid w:val="006D27C9"/>
    <w:rsid w:val="00921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33E1CE-311F-46C9-868B-32C3F34B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6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lis.virginia.gov/vacode/46.2-337/" TargetMode="External"/><Relationship Id="rId13" Type="http://schemas.openxmlformats.org/officeDocument/2006/relationships/hyperlink" Target="https://law.lis.virginia.gov/vacode/46.2-334/" TargetMode="External"/><Relationship Id="rId18" Type="http://schemas.openxmlformats.org/officeDocument/2006/relationships/hyperlink" Target="https://law.lis.virginia.gov/vacode/46.2-1700/"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law.lis.virginia.gov/vacode/46.2-335/" TargetMode="External"/><Relationship Id="rId12" Type="http://schemas.openxmlformats.org/officeDocument/2006/relationships/hyperlink" Target="https://law.lis.virginia.gov/vacode/46.2-324.1/" TargetMode="External"/><Relationship Id="rId17" Type="http://schemas.openxmlformats.org/officeDocument/2006/relationships/hyperlink" Target="https://law.lis.virginia.gov/vacode/46.2-1700/" TargetMode="External"/><Relationship Id="rId2" Type="http://schemas.openxmlformats.org/officeDocument/2006/relationships/settings" Target="settings.xml"/><Relationship Id="rId16" Type="http://schemas.openxmlformats.org/officeDocument/2006/relationships/hyperlink" Target="https://law.lis.virginia.gov/vacode/46.2-1700/" TargetMode="External"/><Relationship Id="rId20" Type="http://schemas.openxmlformats.org/officeDocument/2006/relationships/hyperlink" Target="https://law.lis.virginia.gov/vacode/46.2-322/" TargetMode="External"/><Relationship Id="rId1" Type="http://schemas.openxmlformats.org/officeDocument/2006/relationships/styles" Target="styles.xml"/><Relationship Id="rId6" Type="http://schemas.openxmlformats.org/officeDocument/2006/relationships/hyperlink" Target="https://law.lis.virginia.gov/vacode/46.2-334/" TargetMode="External"/><Relationship Id="rId11" Type="http://schemas.openxmlformats.org/officeDocument/2006/relationships/hyperlink" Target="https://law.lis.virginia.gov/vacode/46.2-1157/" TargetMode="External"/><Relationship Id="rId5" Type="http://schemas.openxmlformats.org/officeDocument/2006/relationships/hyperlink" Target="https://law.lis.virginia.gov/vacode/46.2-316/" TargetMode="External"/><Relationship Id="rId15" Type="http://schemas.openxmlformats.org/officeDocument/2006/relationships/hyperlink" Target="https://law.lis.virginia.gov/vacode/46.2-312/" TargetMode="External"/><Relationship Id="rId10" Type="http://schemas.openxmlformats.org/officeDocument/2006/relationships/hyperlink" Target="https://law.lis.virginia.gov/vacode/46.2-1000/" TargetMode="External"/><Relationship Id="rId19" Type="http://schemas.openxmlformats.org/officeDocument/2006/relationships/hyperlink" Target="https://law.lis.virginia.gov/vacode/46.2-1700/" TargetMode="External"/><Relationship Id="rId4" Type="http://schemas.openxmlformats.org/officeDocument/2006/relationships/hyperlink" Target="https://law.lis.virginia.gov/vacode/46.2-311/" TargetMode="External"/><Relationship Id="rId9" Type="http://schemas.openxmlformats.org/officeDocument/2006/relationships/hyperlink" Target="https://law.lis.virginia.gov/vacode/46.2-328/" TargetMode="External"/><Relationship Id="rId14" Type="http://schemas.openxmlformats.org/officeDocument/2006/relationships/hyperlink" Target="https://law.lis.virginia.gov/vacode/46.2-33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Program</dc:creator>
  <cp:keywords/>
  <dc:description/>
  <cp:lastModifiedBy>VITA Program</cp:lastModifiedBy>
  <cp:revision>1</cp:revision>
  <dcterms:created xsi:type="dcterms:W3CDTF">2022-12-12T15:34:00Z</dcterms:created>
  <dcterms:modified xsi:type="dcterms:W3CDTF">2022-12-12T15:35:00Z</dcterms:modified>
</cp:coreProperties>
</file>