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B80EA" w14:textId="77777777" w:rsidR="00636F5F" w:rsidRDefault="00636F5F" w:rsidP="00636F5F">
      <w:pPr>
        <w:pStyle w:val="BodyText"/>
        <w:ind w:right="89"/>
        <w:jc w:val="center"/>
        <w:rPr>
          <w:b/>
          <w:bCs/>
          <w:i w:val="0"/>
          <w:iCs w:val="0"/>
          <w:u w:val="single"/>
        </w:rPr>
      </w:pPr>
    </w:p>
    <w:p w14:paraId="68656D86" w14:textId="1D5FBBAB" w:rsidR="00636F5F" w:rsidRPr="00636F5F" w:rsidRDefault="00636F5F" w:rsidP="00636F5F">
      <w:pPr>
        <w:pStyle w:val="BodyText"/>
        <w:ind w:right="89"/>
        <w:jc w:val="center"/>
        <w:rPr>
          <w:b/>
          <w:bCs/>
          <w:i w:val="0"/>
          <w:iCs w:val="0"/>
          <w:u w:val="single"/>
        </w:rPr>
      </w:pPr>
      <w:r w:rsidRPr="00636F5F">
        <w:rPr>
          <w:b/>
          <w:bCs/>
          <w:i w:val="0"/>
          <w:iCs w:val="0"/>
          <w:u w:val="single"/>
        </w:rPr>
        <w:t>Instructions for Completing</w:t>
      </w:r>
      <w:r>
        <w:rPr>
          <w:b/>
          <w:bCs/>
          <w:i w:val="0"/>
          <w:iCs w:val="0"/>
          <w:u w:val="single"/>
        </w:rPr>
        <w:t xml:space="preserve"> SOQ Compliance</w:t>
      </w:r>
      <w:r w:rsidRPr="00636F5F">
        <w:rPr>
          <w:b/>
          <w:bCs/>
          <w:i w:val="0"/>
          <w:iCs w:val="0"/>
          <w:u w:val="single"/>
        </w:rPr>
        <w:t xml:space="preserve"> Data Collection</w:t>
      </w:r>
      <w:r w:rsidR="009D235C">
        <w:rPr>
          <w:b/>
          <w:bCs/>
          <w:i w:val="0"/>
          <w:iCs w:val="0"/>
          <w:u w:val="single"/>
        </w:rPr>
        <w:t xml:space="preserve"> 2023-2024</w:t>
      </w:r>
    </w:p>
    <w:p w14:paraId="1627983B" w14:textId="77777777" w:rsidR="00636F5F" w:rsidRPr="000D3FE9" w:rsidRDefault="00636F5F" w:rsidP="00636F5F">
      <w:pPr>
        <w:pStyle w:val="BodyText"/>
        <w:spacing w:before="240"/>
        <w:ind w:right="89"/>
        <w:rPr>
          <w:b/>
          <w:bCs/>
        </w:rPr>
      </w:pPr>
      <w:bookmarkStart w:id="0" w:name="Data_Submission_in_SSWS"/>
      <w:bookmarkEnd w:id="0"/>
      <w:r w:rsidRPr="000D3FE9">
        <w:rPr>
          <w:b/>
          <w:bCs/>
        </w:rPr>
        <w:t>Data Submission in SSWS</w:t>
      </w:r>
    </w:p>
    <w:p w14:paraId="0807CE27" w14:textId="77777777" w:rsidR="00636F5F" w:rsidRPr="002A33C0" w:rsidRDefault="00636F5F" w:rsidP="00636F5F">
      <w:pPr>
        <w:pStyle w:val="BodyText"/>
        <w:ind w:right="89"/>
        <w:rPr>
          <w:i w:val="0"/>
          <w:iCs w:val="0"/>
        </w:rPr>
      </w:pPr>
      <w:r w:rsidRPr="002A33C0">
        <w:rPr>
          <w:i w:val="0"/>
          <w:iCs w:val="0"/>
        </w:rPr>
        <w:t xml:space="preserve">First, complete the data entry in the SOQ Compliance application in SSWS </w:t>
      </w:r>
      <w:r w:rsidRPr="007C1FCE">
        <w:rPr>
          <w:b/>
          <w:bCs/>
          <w:i w:val="0"/>
          <w:iCs w:val="0"/>
        </w:rPr>
        <w:t>by August 2, 2024</w:t>
      </w:r>
      <w:r w:rsidRPr="002A33C0">
        <w:rPr>
          <w:i w:val="0"/>
          <w:iCs w:val="0"/>
        </w:rPr>
        <w:t>. The application includes two sections:</w:t>
      </w:r>
    </w:p>
    <w:p w14:paraId="2E7C62EB" w14:textId="77777777" w:rsidR="00636F5F" w:rsidRPr="002A33C0" w:rsidRDefault="00636F5F" w:rsidP="00636F5F">
      <w:pPr>
        <w:pStyle w:val="BodyText"/>
        <w:numPr>
          <w:ilvl w:val="0"/>
          <w:numId w:val="1"/>
        </w:numPr>
        <w:spacing w:before="155"/>
        <w:ind w:right="89"/>
        <w:rPr>
          <w:i w:val="0"/>
          <w:iCs w:val="0"/>
        </w:rPr>
      </w:pPr>
      <w:r w:rsidRPr="700210A8">
        <w:rPr>
          <w:i w:val="0"/>
          <w:iCs w:val="0"/>
          <w:u w:val="single"/>
        </w:rPr>
        <w:t>Section One: SOQ Standards</w:t>
      </w:r>
      <w:r w:rsidRPr="700210A8">
        <w:rPr>
          <w:i w:val="0"/>
          <w:iCs w:val="0"/>
        </w:rPr>
        <w:t xml:space="preserve"> - any reported noncompliance in this section requires a written corrective action plan in the accompanying text box.</w:t>
      </w:r>
    </w:p>
    <w:p w14:paraId="74EBA669" w14:textId="77777777" w:rsidR="00636F5F" w:rsidRPr="002A33C0" w:rsidRDefault="00636F5F" w:rsidP="00636F5F">
      <w:pPr>
        <w:pStyle w:val="BodyText"/>
        <w:numPr>
          <w:ilvl w:val="0"/>
          <w:numId w:val="1"/>
        </w:numPr>
        <w:spacing w:before="155"/>
        <w:ind w:right="89"/>
        <w:rPr>
          <w:i w:val="0"/>
          <w:iCs w:val="0"/>
        </w:rPr>
      </w:pPr>
      <w:r w:rsidRPr="000D3FE9">
        <w:rPr>
          <w:i w:val="0"/>
          <w:iCs w:val="0"/>
          <w:u w:val="single"/>
        </w:rPr>
        <w:t>Section Two: Other Required Reporting</w:t>
      </w:r>
      <w:r w:rsidRPr="002A33C0">
        <w:rPr>
          <w:i w:val="0"/>
          <w:iCs w:val="0"/>
        </w:rPr>
        <w:t xml:space="preserve"> - all text boxes in this section must include either a substantive response or “Not applicable.”</w:t>
      </w:r>
    </w:p>
    <w:p w14:paraId="0F5C1092" w14:textId="77777777" w:rsidR="00636F5F" w:rsidRPr="002A33C0" w:rsidRDefault="00636F5F" w:rsidP="00636F5F">
      <w:pPr>
        <w:pStyle w:val="BodyText"/>
        <w:spacing w:before="155"/>
        <w:ind w:right="89"/>
        <w:rPr>
          <w:i w:val="0"/>
          <w:iCs w:val="0"/>
        </w:rPr>
      </w:pPr>
      <w:r w:rsidRPr="002A33C0">
        <w:rPr>
          <w:i w:val="0"/>
          <w:iCs w:val="0"/>
        </w:rPr>
        <w:t>The SOQ Compliance application will lock after you submit all data and click the “Finish” button. The application also locks automatically after the submission</w:t>
      </w:r>
      <w:r>
        <w:rPr>
          <w:i w:val="0"/>
          <w:iCs w:val="0"/>
        </w:rPr>
        <w:t xml:space="preserve"> </w:t>
      </w:r>
      <w:r w:rsidRPr="007C1FCE">
        <w:rPr>
          <w:b/>
          <w:bCs/>
          <w:i w:val="0"/>
          <w:iCs w:val="0"/>
        </w:rPr>
        <w:t>deadline of August 2, 2024</w:t>
      </w:r>
      <w:r>
        <w:rPr>
          <w:i w:val="0"/>
          <w:iCs w:val="0"/>
        </w:rPr>
        <w:t xml:space="preserve">. </w:t>
      </w:r>
      <w:r w:rsidRPr="002A33C0">
        <w:rPr>
          <w:i w:val="0"/>
          <w:iCs w:val="0"/>
        </w:rPr>
        <w:t xml:space="preserve">To request your division’s application be unlocked, you must email the Policy Office at </w:t>
      </w:r>
      <w:hyperlink r:id="rId5">
        <w:r w:rsidRPr="00157FB8">
          <w:rPr>
            <w:rStyle w:val="Hyperlink"/>
          </w:rPr>
          <w:t>policy@doe.virginia.gov</w:t>
        </w:r>
        <w:r w:rsidRPr="002A33C0">
          <w:rPr>
            <w:i w:val="0"/>
            <w:iCs w:val="0"/>
          </w:rPr>
          <w:t>.</w:t>
        </w:r>
      </w:hyperlink>
    </w:p>
    <w:p w14:paraId="59F45F6B" w14:textId="77777777" w:rsidR="00636F5F" w:rsidRPr="008B17DD" w:rsidRDefault="00636F5F" w:rsidP="00636F5F">
      <w:pPr>
        <w:pStyle w:val="BodyText"/>
        <w:spacing w:before="155"/>
        <w:ind w:right="89"/>
        <w:rPr>
          <w:b/>
          <w:bCs/>
        </w:rPr>
      </w:pPr>
      <w:bookmarkStart w:id="1" w:name="Verification_Report"/>
      <w:bookmarkEnd w:id="1"/>
      <w:r w:rsidRPr="008B17DD">
        <w:rPr>
          <w:b/>
          <w:bCs/>
        </w:rPr>
        <w:t>Verification Report</w:t>
      </w:r>
    </w:p>
    <w:p w14:paraId="0EFD766C" w14:textId="77777777" w:rsidR="00636F5F" w:rsidRPr="002A33C0" w:rsidRDefault="00636F5F" w:rsidP="00636F5F">
      <w:pPr>
        <w:pStyle w:val="BodyText"/>
        <w:ind w:right="89"/>
        <w:rPr>
          <w:i w:val="0"/>
          <w:iCs w:val="0"/>
        </w:rPr>
      </w:pPr>
      <w:r w:rsidRPr="002A33C0">
        <w:rPr>
          <w:i w:val="0"/>
          <w:iCs w:val="0"/>
        </w:rPr>
        <w:t>Once the data submission is complete in SSWS, the division superintendent and school board chair must sign the “SOQ Compliance Verification Report.” This verification report can be printed by selecting “Reports” from the menu on the right side of the screen in SSWS.</w:t>
      </w:r>
    </w:p>
    <w:p w14:paraId="2CB4CBF3" w14:textId="77777777" w:rsidR="00636F5F" w:rsidRPr="002A33C0" w:rsidRDefault="00636F5F" w:rsidP="00636F5F">
      <w:pPr>
        <w:pStyle w:val="BodyText"/>
        <w:spacing w:before="155"/>
        <w:ind w:right="89"/>
        <w:rPr>
          <w:i w:val="0"/>
          <w:iCs w:val="0"/>
        </w:rPr>
      </w:pPr>
      <w:r w:rsidRPr="700210A8">
        <w:rPr>
          <w:i w:val="0"/>
          <w:iCs w:val="0"/>
        </w:rPr>
        <w:t xml:space="preserve">After signatures are obtained, scan and email both pages of the verification report to the Policy Office at </w:t>
      </w:r>
      <w:hyperlink r:id="rId6">
        <w:r w:rsidRPr="700210A8">
          <w:rPr>
            <w:rStyle w:val="Hyperlink"/>
          </w:rPr>
          <w:t>policy@doe.virginia.gov</w:t>
        </w:r>
        <w:r w:rsidRPr="700210A8">
          <w:rPr>
            <w:i w:val="0"/>
            <w:iCs w:val="0"/>
          </w:rPr>
          <w:t>.</w:t>
        </w:r>
      </w:hyperlink>
      <w:r w:rsidRPr="700210A8">
        <w:rPr>
          <w:i w:val="0"/>
          <w:iCs w:val="0"/>
        </w:rPr>
        <w:t xml:space="preserve"> Please note that authentic signatures are required; electronic signatures will not suffice for this certification.</w:t>
      </w:r>
    </w:p>
    <w:p w14:paraId="4177CE97" w14:textId="77777777" w:rsidR="00636F5F" w:rsidRPr="009E5CBA" w:rsidRDefault="00636F5F" w:rsidP="00636F5F">
      <w:pPr>
        <w:pStyle w:val="BodyText"/>
        <w:spacing w:before="155"/>
        <w:ind w:right="89"/>
        <w:rPr>
          <w:b/>
          <w:bCs/>
          <w:i w:val="0"/>
          <w:iCs w:val="0"/>
        </w:rPr>
      </w:pPr>
      <w:r w:rsidRPr="009E5CBA">
        <w:rPr>
          <w:b/>
          <w:bCs/>
          <w:i w:val="0"/>
          <w:iCs w:val="0"/>
        </w:rPr>
        <w:t>Questions</w:t>
      </w:r>
    </w:p>
    <w:p w14:paraId="2C3D55F1" w14:textId="77777777" w:rsidR="00636F5F" w:rsidRPr="00A86305" w:rsidRDefault="00636F5F" w:rsidP="00636F5F">
      <w:pPr>
        <w:pStyle w:val="BodyText"/>
        <w:spacing w:line="259" w:lineRule="auto"/>
        <w:ind w:right="89"/>
      </w:pPr>
      <w:r w:rsidRPr="2DB223A7">
        <w:rPr>
          <w:i w:val="0"/>
          <w:iCs w:val="0"/>
        </w:rPr>
        <w:t xml:space="preserve">Please see link for detailed instructions on SWSS data submission and division verification reports or feel free to contact the Office of Policy, </w:t>
      </w:r>
      <w:hyperlink r:id="rId7">
        <w:r w:rsidRPr="2DB223A7">
          <w:rPr>
            <w:rStyle w:val="Hyperlink"/>
          </w:rPr>
          <w:t>policy@doe.virginia.gov</w:t>
        </w:r>
      </w:hyperlink>
      <w:r w:rsidRPr="2DB223A7">
        <w:rPr>
          <w:i w:val="0"/>
          <w:iCs w:val="0"/>
        </w:rPr>
        <w:t xml:space="preserve"> or (804) 750-8109 with any additional questions.</w:t>
      </w:r>
    </w:p>
    <w:p w14:paraId="2D0BF7F9" w14:textId="77777777" w:rsidR="002F5D92" w:rsidRDefault="002F5D92"/>
    <w:sectPr w:rsidR="002F5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96ECD"/>
    <w:multiLevelType w:val="hybridMultilevel"/>
    <w:tmpl w:val="CA7A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44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5F"/>
    <w:rsid w:val="0008046D"/>
    <w:rsid w:val="002F5D92"/>
    <w:rsid w:val="003A1C76"/>
    <w:rsid w:val="00636F5F"/>
    <w:rsid w:val="009D235C"/>
    <w:rsid w:val="00D7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7C8DA"/>
  <w15:chartTrackingRefBased/>
  <w15:docId w15:val="{1E8AE440-367C-433F-8C84-2EF95014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F5F"/>
    <w:rPr>
      <w:rFonts w:eastAsiaTheme="majorEastAsia" w:cstheme="majorBidi"/>
      <w:color w:val="272727" w:themeColor="text1" w:themeTint="D8"/>
    </w:rPr>
  </w:style>
  <w:style w:type="paragraph" w:styleId="Title">
    <w:name w:val="Title"/>
    <w:basedOn w:val="Normal"/>
    <w:next w:val="Normal"/>
    <w:link w:val="TitleChar"/>
    <w:uiPriority w:val="10"/>
    <w:qFormat/>
    <w:rsid w:val="00636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F5F"/>
    <w:pPr>
      <w:spacing w:before="160"/>
      <w:jc w:val="center"/>
    </w:pPr>
    <w:rPr>
      <w:i/>
      <w:iCs/>
      <w:color w:val="404040" w:themeColor="text1" w:themeTint="BF"/>
    </w:rPr>
  </w:style>
  <w:style w:type="character" w:customStyle="1" w:styleId="QuoteChar">
    <w:name w:val="Quote Char"/>
    <w:basedOn w:val="DefaultParagraphFont"/>
    <w:link w:val="Quote"/>
    <w:uiPriority w:val="29"/>
    <w:rsid w:val="00636F5F"/>
    <w:rPr>
      <w:i/>
      <w:iCs/>
      <w:color w:val="404040" w:themeColor="text1" w:themeTint="BF"/>
    </w:rPr>
  </w:style>
  <w:style w:type="paragraph" w:styleId="ListParagraph">
    <w:name w:val="List Paragraph"/>
    <w:basedOn w:val="Normal"/>
    <w:uiPriority w:val="34"/>
    <w:qFormat/>
    <w:rsid w:val="00636F5F"/>
    <w:pPr>
      <w:ind w:left="720"/>
      <w:contextualSpacing/>
    </w:pPr>
  </w:style>
  <w:style w:type="character" w:styleId="IntenseEmphasis">
    <w:name w:val="Intense Emphasis"/>
    <w:basedOn w:val="DefaultParagraphFont"/>
    <w:uiPriority w:val="21"/>
    <w:qFormat/>
    <w:rsid w:val="00636F5F"/>
    <w:rPr>
      <w:i/>
      <w:iCs/>
      <w:color w:val="0F4761" w:themeColor="accent1" w:themeShade="BF"/>
    </w:rPr>
  </w:style>
  <w:style w:type="paragraph" w:styleId="IntenseQuote">
    <w:name w:val="Intense Quote"/>
    <w:basedOn w:val="Normal"/>
    <w:next w:val="Normal"/>
    <w:link w:val="IntenseQuoteChar"/>
    <w:uiPriority w:val="30"/>
    <w:qFormat/>
    <w:rsid w:val="00636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F5F"/>
    <w:rPr>
      <w:i/>
      <w:iCs/>
      <w:color w:val="0F4761" w:themeColor="accent1" w:themeShade="BF"/>
    </w:rPr>
  </w:style>
  <w:style w:type="character" w:styleId="IntenseReference">
    <w:name w:val="Intense Reference"/>
    <w:basedOn w:val="DefaultParagraphFont"/>
    <w:uiPriority w:val="32"/>
    <w:qFormat/>
    <w:rsid w:val="00636F5F"/>
    <w:rPr>
      <w:b/>
      <w:bCs/>
      <w:smallCaps/>
      <w:color w:val="0F4761" w:themeColor="accent1" w:themeShade="BF"/>
      <w:spacing w:val="5"/>
    </w:rPr>
  </w:style>
  <w:style w:type="paragraph" w:styleId="BodyText">
    <w:name w:val="Body Text"/>
    <w:basedOn w:val="Normal"/>
    <w:link w:val="BodyTextChar"/>
    <w:uiPriority w:val="1"/>
    <w:qFormat/>
    <w:rsid w:val="00636F5F"/>
    <w:pPr>
      <w:widowControl w:val="0"/>
      <w:autoSpaceDE w:val="0"/>
      <w:autoSpaceDN w:val="0"/>
      <w:spacing w:after="0" w:line="240" w:lineRule="auto"/>
    </w:pPr>
    <w:rPr>
      <w:rFonts w:ascii="Calibri" w:eastAsia="Calibri" w:hAnsi="Calibri" w:cs="Calibri"/>
      <w:i/>
      <w:iCs/>
      <w:kern w:val="0"/>
      <w14:ligatures w14:val="none"/>
    </w:rPr>
  </w:style>
  <w:style w:type="character" w:customStyle="1" w:styleId="BodyTextChar">
    <w:name w:val="Body Text Char"/>
    <w:basedOn w:val="DefaultParagraphFont"/>
    <w:link w:val="BodyText"/>
    <w:uiPriority w:val="1"/>
    <w:rsid w:val="00636F5F"/>
    <w:rPr>
      <w:rFonts w:ascii="Calibri" w:eastAsia="Calibri" w:hAnsi="Calibri" w:cs="Calibri"/>
      <w:i/>
      <w:iCs/>
      <w:kern w:val="0"/>
      <w14:ligatures w14:val="none"/>
    </w:rPr>
  </w:style>
  <w:style w:type="character" w:styleId="Hyperlink">
    <w:name w:val="Hyperlink"/>
    <w:basedOn w:val="DefaultParagraphFont"/>
    <w:uiPriority w:val="99"/>
    <w:unhideWhenUsed/>
    <w:rsid w:val="00636F5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licy@doe.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icy@doe.virginia.gov" TargetMode="External"/><Relationship Id="rId5" Type="http://schemas.openxmlformats.org/officeDocument/2006/relationships/hyperlink" Target="mailto:policy@doe.virgini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256</Words>
  <Characters>1461</Characters>
  <Application>Microsoft Office Word</Application>
  <DocSecurity>0</DocSecurity>
  <Lines>12</Lines>
  <Paragraphs>3</Paragraphs>
  <ScaleCrop>false</ScaleCrop>
  <Company>VITA</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Madden, Erin (DOE)</dc:creator>
  <cp:keywords/>
  <dc:description/>
  <cp:lastModifiedBy>Klemz, Karina (DOE)</cp:lastModifiedBy>
  <cp:revision>2</cp:revision>
  <dcterms:created xsi:type="dcterms:W3CDTF">2024-06-12T13:11:00Z</dcterms:created>
  <dcterms:modified xsi:type="dcterms:W3CDTF">2024-06-12T18:40:00Z</dcterms:modified>
</cp:coreProperties>
</file>