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9681" w14:textId="312272EA" w:rsidR="00091DEC" w:rsidRDefault="006D3C88" w:rsidP="00675518">
      <w:pPr>
        <w:pStyle w:val="Heading1"/>
        <w:spacing w:before="0" w:after="0"/>
      </w:pPr>
      <w:r>
        <w:t xml:space="preserve">Using a Dual Language Immersion (Dl/I) as a Language Instruction Educational Program (LIEP) Model </w:t>
      </w:r>
      <w:r w:rsidR="5900F46D">
        <w:t>i</w:t>
      </w:r>
      <w:r>
        <w:t>n Virginia</w:t>
      </w:r>
    </w:p>
    <w:p w14:paraId="7394A05D" w14:textId="5D7C3762" w:rsidR="006D3C88" w:rsidRDefault="005F3FE8" w:rsidP="050E404D">
      <w:pPr>
        <w:spacing w:after="0"/>
        <w:ind w:left="1080"/>
        <w:jc w:val="right"/>
        <w:sectPr w:rsidR="006D3C88" w:rsidSect="00675518">
          <w:footerReference w:type="even" r:id="rId8"/>
          <w:footerReference w:type="default" r:id="rId9"/>
          <w:pgSz w:w="15840" w:h="12240" w:orient="landscape"/>
          <w:pgMar w:top="432" w:right="720" w:bottom="621" w:left="720" w:header="720" w:footer="720" w:gutter="0"/>
          <w:cols w:num="2" w:space="720" w:equalWidth="0">
            <w:col w:w="10800" w:space="720"/>
            <w:col w:w="2880"/>
          </w:cols>
          <w:docGrid w:linePitch="360"/>
        </w:sectPr>
      </w:pPr>
      <w:r>
        <w:br w:type="column"/>
      </w:r>
      <w:r w:rsidR="00091DEC">
        <w:rPr>
          <w:noProof/>
        </w:rPr>
        <w:drawing>
          <wp:inline distT="0" distB="0" distL="0" distR="0" wp14:anchorId="769F3A95" wp14:editId="1180C129">
            <wp:extent cx="1126067" cy="772215"/>
            <wp:effectExtent l="0" t="0" r="4445" b="0"/>
            <wp:docPr id="44555062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550621" name="Picture 1" descr="Logo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857" cy="79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1DB17" w14:textId="62CEF51E" w:rsidR="006D3C88" w:rsidRPr="00675518" w:rsidRDefault="006D3C88" w:rsidP="006D3C88">
      <w:pPr>
        <w:pBdr>
          <w:top w:val="single" w:sz="4" w:space="1" w:color="auto"/>
        </w:pBdr>
        <w:spacing w:after="0"/>
        <w:rPr>
          <w:sz w:val="13"/>
          <w:szCs w:val="13"/>
        </w:rPr>
      </w:pPr>
    </w:p>
    <w:tbl>
      <w:tblPr>
        <w:tblW w:w="143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9"/>
        <w:gridCol w:w="7525"/>
      </w:tblGrid>
      <w:tr w:rsidR="003606B2" w:rsidRPr="003606B2" w14:paraId="0A42D729" w14:textId="77777777" w:rsidTr="006D3C88">
        <w:trPr>
          <w:trHeight w:val="300"/>
        </w:trPr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C71" w:themeFill="text1"/>
            <w:vAlign w:val="center"/>
            <w:hideMark/>
          </w:tcPr>
          <w:p w14:paraId="0332EFEC" w14:textId="43213998" w:rsidR="003606B2" w:rsidRPr="006D3C88" w:rsidRDefault="006D3C88" w:rsidP="006D3C8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6D3C88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Dual Language/Immersion (Dl/I)</w:t>
            </w:r>
            <w:r w:rsidRPr="006D3C8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14:ligatures w14:val="none"/>
              </w:rPr>
              <w:t> </w:t>
            </w:r>
          </w:p>
        </w:tc>
        <w:tc>
          <w:tcPr>
            <w:tcW w:w="7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3C71" w:themeFill="text1"/>
            <w:vAlign w:val="center"/>
            <w:hideMark/>
          </w:tcPr>
          <w:p w14:paraId="542AD539" w14:textId="19DDD8D9" w:rsidR="003606B2" w:rsidRPr="006D3C88" w:rsidRDefault="006D3C88" w:rsidP="006D3C88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r w:rsidRPr="006D3C88">
              <w:rPr>
                <w:rFonts w:eastAsia="Times New Roman" w:cs="Times New Roman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Language Instruction Educational Program (Liep)</w:t>
            </w:r>
            <w:r w:rsidRPr="006D3C88">
              <w:rPr>
                <w:rFonts w:ascii="Arial" w:eastAsia="Times New Roman" w:hAnsi="Arial" w:cs="Arial"/>
                <w:color w:val="FFFFFF" w:themeColor="background1"/>
                <w:kern w:val="0"/>
                <w:sz w:val="24"/>
                <w:szCs w:val="24"/>
                <w14:ligatures w14:val="none"/>
              </w:rPr>
              <w:t> </w:t>
            </w:r>
          </w:p>
        </w:tc>
      </w:tr>
      <w:tr w:rsidR="003606B2" w:rsidRPr="003606B2" w14:paraId="3B767381" w14:textId="77777777" w:rsidTr="006D3C88">
        <w:trPr>
          <w:trHeight w:val="300"/>
        </w:trPr>
        <w:tc>
          <w:tcPr>
            <w:tcW w:w="6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4144F625" w14:textId="77777777" w:rsidR="003606B2" w:rsidRPr="006D3C88" w:rsidRDefault="003606B2" w:rsidP="6DCCD64D">
            <w:pPr>
              <w:spacing w:after="0" w:line="240" w:lineRule="auto"/>
              <w:ind w:left="90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D3C8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Dual Language/Immersion (DL/I) education is academic programming that delivers curricular content in two languages—English and a second, partner language.  </w:t>
            </w:r>
          </w:p>
          <w:p w14:paraId="0DA3B067" w14:textId="77777777" w:rsidR="003606B2" w:rsidRPr="006D3C88" w:rsidRDefault="003606B2" w:rsidP="6DCCD64D">
            <w:pPr>
              <w:spacing w:after="0" w:line="240" w:lineRule="auto"/>
              <w:ind w:left="90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D3C8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5BB3136B" w14:textId="77777777" w:rsidR="003606B2" w:rsidRPr="006D3C88" w:rsidRDefault="003606B2" w:rsidP="6DCCD64D">
            <w:pPr>
              <w:spacing w:after="0" w:line="240" w:lineRule="auto"/>
              <w:ind w:left="90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D3C8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The purpose of DL/I education is to strengthen the educational experience of native English-speaking students by teaching them another language, while also providing educational equity to English learners (ELs) by developing their primary language skills to support their English language development.  </w:t>
            </w:r>
          </w:p>
          <w:p w14:paraId="7FFCCBF4" w14:textId="77777777" w:rsidR="003606B2" w:rsidRPr="003606B2" w:rsidRDefault="003606B2" w:rsidP="003606B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60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hideMark/>
          </w:tcPr>
          <w:p w14:paraId="202958E9" w14:textId="621063B4" w:rsidR="003606B2" w:rsidRPr="006D3C88" w:rsidRDefault="003606B2" w:rsidP="6DCCD64D">
            <w:pPr>
              <w:spacing w:after="0" w:line="240" w:lineRule="auto"/>
              <w:ind w:left="90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D3C8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ESEA specifically defines a LIEP as follows (Section 3</w:t>
            </w:r>
            <w:r w:rsidR="195BFD52" w:rsidRPr="006D3C8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</w:t>
            </w:r>
            <w:r w:rsidRPr="006D3C8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01): (</w:t>
            </w:r>
            <w:r w:rsidR="4B31932E" w:rsidRPr="006D3C8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7</w:t>
            </w:r>
            <w:r w:rsidRPr="006D3C8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) </w:t>
            </w:r>
            <w:r w:rsidR="69A04C17" w:rsidRPr="006D3C8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“</w:t>
            </w:r>
            <w:r w:rsidRPr="006D3C8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The term ‘language instruction educational program’ means an instruction course—   </w:t>
            </w:r>
          </w:p>
          <w:p w14:paraId="6D44B37D" w14:textId="41793662" w:rsidR="003606B2" w:rsidRPr="006D3C88" w:rsidRDefault="003606B2" w:rsidP="6DCCD64D">
            <w:pPr>
              <w:spacing w:after="0" w:line="240" w:lineRule="auto"/>
              <w:ind w:left="90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6D3C8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(A) in which a</w:t>
            </w:r>
            <w:r w:rsidR="153C4306" w:rsidRPr="006D3C8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 English Learner</w:t>
            </w:r>
            <w:r w:rsidRPr="006D3C8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is placed for the purpose of developing and attaining English proficiency, while meeting challenging state academic content and student academic achievement standards, as required by section 1111(b)(1); and   </w:t>
            </w:r>
          </w:p>
          <w:p w14:paraId="7FA6C23C" w14:textId="0C3EE8D3" w:rsidR="003606B2" w:rsidRPr="003606B2" w:rsidRDefault="003606B2" w:rsidP="6DCCD64D">
            <w:pPr>
              <w:spacing w:after="0" w:line="240" w:lineRule="auto"/>
              <w:ind w:left="9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3C8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(B) that may make instructional use of both English and a child’s </w:t>
            </w:r>
            <w:r w:rsidR="3FEA7512" w:rsidRPr="006D3C8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native language to</w:t>
            </w:r>
            <w:r w:rsidRPr="006D3C8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enable the child to develop and attain English </w:t>
            </w:r>
            <w:r w:rsidR="10FA61AC" w:rsidRPr="006D3C8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proficiency and</w:t>
            </w:r>
            <w:r w:rsidRPr="006D3C8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may include the participation of English proficient children if such course is designed to enable all participating children to become proficient in English and a second language.</w:t>
            </w:r>
            <w:r w:rsidR="14191572" w:rsidRPr="006D3C8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”</w:t>
            </w:r>
            <w:r w:rsidRPr="003606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  </w:t>
            </w:r>
          </w:p>
        </w:tc>
      </w:tr>
    </w:tbl>
    <w:p w14:paraId="2BF2D34E" w14:textId="0382391F" w:rsidR="003606B2" w:rsidRPr="003606B2" w:rsidRDefault="003606B2" w:rsidP="00675518">
      <w:pPr>
        <w:pStyle w:val="Heading2"/>
      </w:pPr>
      <w:r w:rsidRPr="003606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3606B2">
        <w:t>For a DL/I program to also be considered a LIEP, the following criteria must be met.</w:t>
      </w:r>
      <w:r w:rsidRPr="003606B2">
        <w:rPr>
          <w:rFonts w:ascii="Arial" w:hAnsi="Arial" w:cs="Arial"/>
        </w:rPr>
        <w:t> </w:t>
      </w:r>
      <w:r w:rsidRPr="003606B2">
        <w:t> </w:t>
      </w:r>
    </w:p>
    <w:tbl>
      <w:tblPr>
        <w:tblW w:w="143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2"/>
        <w:gridCol w:w="4140"/>
        <w:gridCol w:w="7372"/>
      </w:tblGrid>
      <w:tr w:rsidR="003606B2" w:rsidRPr="003606B2" w14:paraId="036DF9E3" w14:textId="77777777" w:rsidTr="00675518">
        <w:trPr>
          <w:trHeight w:val="300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60B4FF" w:themeFill="accent1" w:themeFillTint="66"/>
            <w:hideMark/>
          </w:tcPr>
          <w:p w14:paraId="1DA13154" w14:textId="4DE36C56" w:rsidR="003606B2" w:rsidRPr="00A31468" w:rsidRDefault="0096062D" w:rsidP="003606B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A3146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Teacher</w:t>
            </w:r>
            <w:r w:rsidRPr="00A314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7D31"/>
            <w:hideMark/>
          </w:tcPr>
          <w:p w14:paraId="4BEE1CC3" w14:textId="43392713" w:rsidR="003606B2" w:rsidRPr="009A1740" w:rsidRDefault="0096062D" w:rsidP="009A1740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A1740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Program</w:t>
            </w:r>
            <w:r w:rsidRPr="009A1740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8D235FE" w14:textId="790D14E5" w:rsidR="003606B2" w:rsidRPr="00A31468" w:rsidRDefault="0096062D" w:rsidP="003606B2">
            <w:pPr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A3146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Instruction</w:t>
            </w:r>
            <w:r w:rsidRPr="00A31468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606B2" w:rsidRPr="003606B2" w14:paraId="4A755B6E" w14:textId="77777777" w:rsidTr="009A1740">
        <w:trPr>
          <w:trHeight w:val="300"/>
        </w:trPr>
        <w:tc>
          <w:tcPr>
            <w:tcW w:w="2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6160D7B" w14:textId="4EE8779E" w:rsidR="003606B2" w:rsidRPr="009A1740" w:rsidRDefault="003606B2" w:rsidP="009A174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47" w:right="167" w:hanging="270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9A1740">
              <w:rPr>
                <w:rFonts w:eastAsia="Times New Roman" w:cs="Times New Roman"/>
                <w:kern w:val="0"/>
                <w14:ligatures w14:val="none"/>
              </w:rPr>
              <w:t>The teacher providing the</w:t>
            </w:r>
            <w:r w:rsidRPr="009A1740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9A1740">
              <w:rPr>
                <w:rFonts w:eastAsia="Times New Roman" w:cs="Times New Roman"/>
                <w:kern w:val="0"/>
                <w14:ligatures w14:val="none"/>
              </w:rPr>
              <w:t>English language instruction is endorsed to teach ESL in Virginia.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/>
            <w:hideMark/>
          </w:tcPr>
          <w:p w14:paraId="67F572F1" w14:textId="49EA95AC" w:rsidR="003606B2" w:rsidRPr="0096062D" w:rsidRDefault="003606B2" w:rsidP="0096062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80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9A1740">
              <w:rPr>
                <w:rFonts w:eastAsia="Times New Roman" w:cs="Times New Roman"/>
                <w:kern w:val="0"/>
                <w14:ligatures w14:val="none"/>
              </w:rPr>
              <w:t>The Program is implemented effectively with resources for personnel, instructional materials, and space.</w:t>
            </w:r>
          </w:p>
          <w:p w14:paraId="1E79E63E" w14:textId="200EB7A7" w:rsidR="003606B2" w:rsidRPr="009A1740" w:rsidRDefault="003606B2" w:rsidP="0096062D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480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9A1740">
              <w:rPr>
                <w:rFonts w:eastAsia="Times New Roman" w:cs="Times New Roman"/>
                <w:kern w:val="0"/>
                <w14:ligatures w14:val="none"/>
              </w:rPr>
              <w:t xml:space="preserve">Both English Learner (EL) </w:t>
            </w:r>
          </w:p>
          <w:p w14:paraId="266CA89A" w14:textId="75391171" w:rsidR="003606B2" w:rsidRPr="009A1740" w:rsidRDefault="003606B2" w:rsidP="009A1740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ind w:left="901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9A1740">
              <w:rPr>
                <w:rFonts w:eastAsia="Times New Roman" w:cs="Times New Roman"/>
                <w:kern w:val="0"/>
                <w14:ligatures w14:val="none"/>
              </w:rPr>
              <w:t>and non-English learners are included in the classroom. </w:t>
            </w: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318CDF4F" w14:textId="77777777" w:rsidR="003606B2" w:rsidRPr="009A1740" w:rsidRDefault="003606B2" w:rsidP="0096062D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480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9A1740">
              <w:rPr>
                <w:rFonts w:eastAsia="Times New Roman" w:cs="Times New Roman"/>
                <w:kern w:val="0"/>
                <w14:ligatures w14:val="none"/>
              </w:rPr>
              <w:t>Content is taught in both English and the first language (L1). </w:t>
            </w:r>
          </w:p>
          <w:p w14:paraId="6269D57D" w14:textId="77777777" w:rsidR="003606B2" w:rsidRPr="009A1740" w:rsidRDefault="003606B2" w:rsidP="0096062D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480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9A1740">
              <w:rPr>
                <w:rFonts w:eastAsia="Times New Roman" w:cs="Times New Roman"/>
                <w:kern w:val="0"/>
                <w14:ligatures w14:val="none"/>
              </w:rPr>
              <w:t>Virginia Standards of Learning are supported with language objectives. </w:t>
            </w:r>
          </w:p>
          <w:p w14:paraId="7C707418" w14:textId="77777777" w:rsidR="003606B2" w:rsidRPr="009A1740" w:rsidRDefault="003606B2" w:rsidP="0096062D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480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9A1740">
              <w:rPr>
                <w:rFonts w:eastAsia="Times New Roman" w:cs="Times New Roman"/>
                <w:kern w:val="0"/>
                <w14:ligatures w14:val="none"/>
              </w:rPr>
              <w:t>WIDA English Language Development Standards are explicit throughout instruction. </w:t>
            </w:r>
          </w:p>
          <w:p w14:paraId="2B662AB0" w14:textId="312FFEBE" w:rsidR="003606B2" w:rsidRPr="009A1740" w:rsidRDefault="003606B2" w:rsidP="0096062D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480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9A1740">
              <w:rPr>
                <w:rFonts w:eastAsia="Times New Roman" w:cs="Times New Roman"/>
                <w:kern w:val="0"/>
                <w14:ligatures w14:val="none"/>
              </w:rPr>
              <w:t xml:space="preserve">Instruction includes </w:t>
            </w:r>
            <w:r w:rsidR="23471968" w:rsidRPr="009A1740">
              <w:rPr>
                <w:rFonts w:eastAsia="Times New Roman" w:cs="Times New Roman"/>
                <w:kern w:val="0"/>
                <w14:ligatures w14:val="none"/>
              </w:rPr>
              <w:t xml:space="preserve">tasks in the four domains of </w:t>
            </w:r>
            <w:r w:rsidRPr="009A1740">
              <w:rPr>
                <w:rFonts w:eastAsia="Times New Roman" w:cs="Times New Roman"/>
                <w:kern w:val="0"/>
                <w14:ligatures w14:val="none"/>
              </w:rPr>
              <w:t>listening, speaking, reading, and writing. </w:t>
            </w:r>
          </w:p>
          <w:p w14:paraId="20A383C5" w14:textId="77777777" w:rsidR="003606B2" w:rsidRPr="009A1740" w:rsidRDefault="003606B2" w:rsidP="0096062D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480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9A1740">
              <w:rPr>
                <w:rFonts w:eastAsia="Times New Roman" w:cs="Times New Roman"/>
                <w:kern w:val="0"/>
                <w14:ligatures w14:val="none"/>
              </w:rPr>
              <w:t>Proficiency levels 1.0-4.3 are accounted for during instruction. </w:t>
            </w:r>
          </w:p>
          <w:p w14:paraId="5767C464" w14:textId="77777777" w:rsidR="003606B2" w:rsidRPr="009A1740" w:rsidRDefault="003606B2" w:rsidP="0096062D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480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9A1740">
              <w:rPr>
                <w:rFonts w:eastAsia="Times New Roman" w:cs="Times New Roman"/>
                <w:kern w:val="0"/>
                <w14:ligatures w14:val="none"/>
              </w:rPr>
              <w:t>The English language instruction being provided to ELs is supplemental to the classroom instruction for all students. </w:t>
            </w:r>
          </w:p>
          <w:p w14:paraId="0D888C27" w14:textId="77777777" w:rsidR="003606B2" w:rsidRPr="009A1740" w:rsidRDefault="003606B2" w:rsidP="0096062D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480"/>
              <w:textAlignment w:val="baseline"/>
              <w:rPr>
                <w:rFonts w:eastAsia="Times New Roman" w:cs="Times New Roman"/>
                <w:kern w:val="0"/>
                <w14:ligatures w14:val="none"/>
              </w:rPr>
            </w:pPr>
            <w:r w:rsidRPr="009A1740">
              <w:rPr>
                <w:rFonts w:eastAsia="Times New Roman" w:cs="Times New Roman"/>
                <w:kern w:val="0"/>
                <w14:ligatures w14:val="none"/>
              </w:rPr>
              <w:t>Culturally responsive practices are evident in the instruction. </w:t>
            </w:r>
          </w:p>
        </w:tc>
      </w:tr>
    </w:tbl>
    <w:p w14:paraId="16793131" w14:textId="77777777" w:rsidR="0096062D" w:rsidRDefault="0096062D" w:rsidP="0096062D"/>
    <w:p w14:paraId="6BEE3B90" w14:textId="477CB6AF" w:rsidR="003606B2" w:rsidRPr="003606B2" w:rsidRDefault="003606B2" w:rsidP="006D3C88">
      <w:pPr>
        <w:pStyle w:val="Heading2"/>
      </w:pPr>
      <w:r w:rsidRPr="003606B2">
        <w:lastRenderedPageBreak/>
        <w:t>Resources</w:t>
      </w:r>
    </w:p>
    <w:p w14:paraId="71DC8CA3" w14:textId="7F012434" w:rsidR="003606B2" w:rsidRPr="009A1740" w:rsidRDefault="003606B2">
      <w:pPr>
        <w:rPr>
          <w:rFonts w:cs="Times New Roman"/>
        </w:rPr>
      </w:pPr>
      <w:r w:rsidRPr="009A1740">
        <w:rPr>
          <w:rFonts w:cs="Times New Roman"/>
        </w:rPr>
        <w:t xml:space="preserve">Administrative Code </w:t>
      </w:r>
      <w:hyperlink r:id="rId11" w:tgtFrame="_blank" w:history="1">
        <w:r w:rsidRPr="009A1740">
          <w:rPr>
            <w:rStyle w:val="Hyperlink"/>
            <w:rFonts w:cs="Times New Roman"/>
          </w:rPr>
          <w:t>8VAC20-23-350. English as a second language preK-12</w:t>
        </w:r>
      </w:hyperlink>
      <w:r w:rsidRPr="009A1740">
        <w:rPr>
          <w:rFonts w:cs="Times New Roman"/>
        </w:rPr>
        <w:t> </w:t>
      </w:r>
    </w:p>
    <w:p w14:paraId="636AB4D1" w14:textId="27A8711F" w:rsidR="003606B2" w:rsidRPr="009A1740" w:rsidRDefault="003606B2" w:rsidP="003606B2">
      <w:pPr>
        <w:rPr>
          <w:rFonts w:cs="Times New Roman"/>
        </w:rPr>
      </w:pPr>
      <w:hyperlink r:id="rId12" w:tgtFrame="_blank" w:history="1">
        <w:r w:rsidRPr="009A1740">
          <w:rPr>
            <w:rStyle w:val="Hyperlink"/>
            <w:rFonts w:cs="Times New Roman"/>
          </w:rPr>
          <w:t>Language Instruction Educational Program (LIEP) Models in Virginia</w:t>
        </w:r>
        <w:r w:rsidRPr="009A1740">
          <w:rPr>
            <w:rStyle w:val="Hyperlink"/>
            <w:rFonts w:ascii="Arial" w:hAnsi="Arial" w:cs="Arial"/>
          </w:rPr>
          <w:t> </w:t>
        </w:r>
      </w:hyperlink>
      <w:r w:rsidRPr="009A1740">
        <w:rPr>
          <w:rFonts w:cs="Times New Roman"/>
        </w:rPr>
        <w:t>) </w:t>
      </w:r>
    </w:p>
    <w:p w14:paraId="0FA7B1C9" w14:textId="77777777" w:rsidR="003606B2" w:rsidRPr="009A1740" w:rsidRDefault="003606B2" w:rsidP="003606B2">
      <w:pPr>
        <w:rPr>
          <w:rFonts w:cs="Times New Roman"/>
        </w:rPr>
      </w:pPr>
      <w:r w:rsidRPr="009A1740">
        <w:rPr>
          <w:rFonts w:cs="Times New Roman"/>
        </w:rPr>
        <w:t>Standards of Quality</w:t>
      </w:r>
      <w:r w:rsidRPr="009A1740">
        <w:rPr>
          <w:rFonts w:ascii="Arial" w:hAnsi="Arial" w:cs="Arial"/>
        </w:rPr>
        <w:t> </w:t>
      </w:r>
      <w:hyperlink r:id="rId13" w:tgtFrame="_blank" w:history="1">
        <w:r w:rsidRPr="009A1740">
          <w:rPr>
            <w:rStyle w:val="Hyperlink"/>
            <w:rFonts w:cs="Times New Roman"/>
          </w:rPr>
          <w:t>§ 22.1-253.13:2. Standard 2. Instructional, administrative, and support personnel</w:t>
        </w:r>
      </w:hyperlink>
      <w:r w:rsidRPr="009A1740">
        <w:rPr>
          <w:rFonts w:cs="Times New Roman"/>
        </w:rPr>
        <w:t>.</w:t>
      </w:r>
      <w:r w:rsidRPr="009A1740">
        <w:rPr>
          <w:rFonts w:ascii="Arial" w:hAnsi="Arial" w:cs="Arial"/>
        </w:rPr>
        <w:t> </w:t>
      </w:r>
      <w:r w:rsidRPr="009A1740">
        <w:rPr>
          <w:rFonts w:cs="Times New Roman"/>
        </w:rPr>
        <w:t> </w:t>
      </w:r>
    </w:p>
    <w:p w14:paraId="2F5C292A" w14:textId="77777777" w:rsidR="003606B2" w:rsidRPr="009A1740" w:rsidRDefault="003606B2" w:rsidP="003606B2">
      <w:pPr>
        <w:rPr>
          <w:rFonts w:cs="Times New Roman"/>
        </w:rPr>
      </w:pPr>
      <w:hyperlink r:id="rId14" w:tgtFrame="_blank" w:history="1">
        <w:r w:rsidRPr="009A1740">
          <w:rPr>
            <w:rStyle w:val="Hyperlink"/>
            <w:rFonts w:cs="Times New Roman"/>
          </w:rPr>
          <w:t>The Dual Language Immersion Education Document</w:t>
        </w:r>
      </w:hyperlink>
      <w:r w:rsidRPr="009A1740">
        <w:rPr>
          <w:rFonts w:ascii="Arial" w:hAnsi="Arial" w:cs="Arial"/>
        </w:rPr>
        <w:t> </w:t>
      </w:r>
      <w:r w:rsidRPr="009A1740">
        <w:rPr>
          <w:rFonts w:cs="Times New Roman"/>
        </w:rPr>
        <w:t> </w:t>
      </w:r>
    </w:p>
    <w:p w14:paraId="7DA3EC1F" w14:textId="77777777" w:rsidR="003606B2" w:rsidRPr="009A1740" w:rsidRDefault="003606B2" w:rsidP="003606B2">
      <w:pPr>
        <w:rPr>
          <w:rFonts w:cs="Times New Roman"/>
        </w:rPr>
      </w:pPr>
      <w:r w:rsidRPr="009A1740">
        <w:rPr>
          <w:rFonts w:cs="Times New Roman"/>
        </w:rPr>
        <w:t xml:space="preserve">U.S. Department of Education, </w:t>
      </w:r>
      <w:hyperlink r:id="rId15" w:tgtFrame="_blank" w:history="1">
        <w:r w:rsidRPr="009A1740">
          <w:rPr>
            <w:rStyle w:val="Hyperlink"/>
            <w:rFonts w:cs="Times New Roman"/>
          </w:rPr>
          <w:t>Language Instruction Educational Programs (LIEPs): A Review of the Foundational Literature</w:t>
        </w:r>
      </w:hyperlink>
      <w:r w:rsidRPr="009A1740">
        <w:rPr>
          <w:rFonts w:cs="Times New Roman"/>
        </w:rPr>
        <w:t> </w:t>
      </w:r>
    </w:p>
    <w:p w14:paraId="14A6667D" w14:textId="18BBC1A0" w:rsidR="003606B2" w:rsidRPr="009A1740" w:rsidRDefault="003606B2" w:rsidP="003606B2">
      <w:pPr>
        <w:rPr>
          <w:rFonts w:cs="Times New Roman"/>
        </w:rPr>
      </w:pPr>
      <w:r w:rsidRPr="009A1740">
        <w:rPr>
          <w:rFonts w:cs="Times New Roman"/>
        </w:rPr>
        <w:t xml:space="preserve">U.S. Department of Education </w:t>
      </w:r>
      <w:hyperlink r:id="rId16" w:history="1">
        <w:r w:rsidRPr="009A1740">
          <w:rPr>
            <w:rStyle w:val="Hyperlink"/>
            <w:rFonts w:cs="Times New Roman"/>
          </w:rPr>
          <w:t>Chapter 2: Tools and Resources for Providing English Language Learners with a Language Assistance Program  </w:t>
        </w:r>
      </w:hyperlink>
    </w:p>
    <w:p w14:paraId="4EB67B63" w14:textId="0EA95742" w:rsidR="003606B2" w:rsidRPr="009A1740" w:rsidRDefault="003606B2" w:rsidP="003606B2">
      <w:pPr>
        <w:rPr>
          <w:rFonts w:cs="Times New Roman"/>
        </w:rPr>
      </w:pPr>
      <w:r w:rsidRPr="009A1740">
        <w:rPr>
          <w:rFonts w:cs="Times New Roman"/>
        </w:rPr>
        <w:t xml:space="preserve">U.S. Department of Education </w:t>
      </w:r>
      <w:hyperlink r:id="rId17" w:tgtFrame="_blank" w:history="1">
        <w:r w:rsidRPr="009A1740">
          <w:rPr>
            <w:rStyle w:val="Hyperlink"/>
            <w:rFonts w:cs="Times New Roman"/>
          </w:rPr>
          <w:t>Chapter 3: Tools and Resources for Staffing and Supporting an English Learner Program </w:t>
        </w:r>
      </w:hyperlink>
    </w:p>
    <w:p w14:paraId="49A864B9" w14:textId="77777777" w:rsidR="003606B2" w:rsidRPr="009A1740" w:rsidRDefault="003606B2" w:rsidP="003606B2">
      <w:pPr>
        <w:rPr>
          <w:rFonts w:cs="Times New Roman"/>
        </w:rPr>
      </w:pPr>
      <w:r w:rsidRPr="009A1740">
        <w:rPr>
          <w:rFonts w:cs="Times New Roman"/>
        </w:rPr>
        <w:t xml:space="preserve">U.S. Department of Education </w:t>
      </w:r>
      <w:hyperlink r:id="rId18" w:tgtFrame="_blank" w:history="1">
        <w:r w:rsidRPr="009A1740">
          <w:rPr>
            <w:rStyle w:val="Hyperlink"/>
            <w:rFonts w:cs="Times New Roman"/>
          </w:rPr>
          <w:t>Chapter 5: Creating an Inclusive Environment for and Avoiding the Unnecessary Segregation of English Learners</w:t>
        </w:r>
      </w:hyperlink>
      <w:r w:rsidRPr="009A1740">
        <w:rPr>
          <w:rFonts w:cs="Times New Roman"/>
        </w:rPr>
        <w:t>  </w:t>
      </w:r>
    </w:p>
    <w:p w14:paraId="5C2CEC4A" w14:textId="77777777" w:rsidR="003606B2" w:rsidRPr="009A1740" w:rsidRDefault="003606B2" w:rsidP="003606B2">
      <w:pPr>
        <w:rPr>
          <w:rFonts w:cs="Times New Roman"/>
        </w:rPr>
      </w:pPr>
      <w:r w:rsidRPr="009A1740">
        <w:rPr>
          <w:rFonts w:cs="Times New Roman"/>
        </w:rPr>
        <w:t xml:space="preserve">U.S. Department of Education, Office for Civil Rights, &amp; U.S. Department of Justice (2015, January). </w:t>
      </w:r>
      <w:hyperlink r:id="rId19" w:tgtFrame="_blank" w:history="1">
        <w:r w:rsidRPr="009A1740">
          <w:rPr>
            <w:rStyle w:val="Hyperlink"/>
            <w:rFonts w:cs="Times New Roman"/>
          </w:rPr>
          <w:t>Dear colleague letter: English learner students and limited English proficient parents (p. 12).</w:t>
        </w:r>
      </w:hyperlink>
      <w:r w:rsidRPr="009A1740">
        <w:rPr>
          <w:rFonts w:cs="Times New Roman"/>
        </w:rPr>
        <w:t> </w:t>
      </w:r>
    </w:p>
    <w:p w14:paraId="4271BFFB" w14:textId="77777777" w:rsidR="003606B2" w:rsidRPr="009A1740" w:rsidRDefault="003606B2" w:rsidP="003606B2">
      <w:pPr>
        <w:rPr>
          <w:rFonts w:cs="Times New Roman"/>
        </w:rPr>
      </w:pPr>
      <w:r w:rsidRPr="009A1740">
        <w:rPr>
          <w:rFonts w:cs="Times New Roman"/>
        </w:rPr>
        <w:t xml:space="preserve">U.S. Department of Education </w:t>
      </w:r>
      <w:hyperlink r:id="rId20" w:tgtFrame="_blank" w:history="1">
        <w:r w:rsidRPr="009A1740">
          <w:rPr>
            <w:rStyle w:val="Hyperlink"/>
            <w:rFonts w:cs="Times New Roman"/>
          </w:rPr>
          <w:t>Lau v Nichols</w:t>
        </w:r>
      </w:hyperlink>
      <w:r w:rsidRPr="009A1740">
        <w:rPr>
          <w:rFonts w:cs="Times New Roman"/>
        </w:rPr>
        <w:t> </w:t>
      </w:r>
    </w:p>
    <w:p w14:paraId="20DEC5A5" w14:textId="77777777" w:rsidR="003606B2" w:rsidRPr="009A1740" w:rsidRDefault="003606B2" w:rsidP="003606B2">
      <w:pPr>
        <w:rPr>
          <w:rFonts w:cs="Times New Roman"/>
        </w:rPr>
      </w:pPr>
      <w:r w:rsidRPr="009A1740">
        <w:rPr>
          <w:rFonts w:cs="Times New Roman"/>
        </w:rPr>
        <w:t xml:space="preserve">U.S. Department of Education </w:t>
      </w:r>
      <w:hyperlink r:id="rId21" w:tgtFrame="_blank" w:history="1">
        <w:r w:rsidRPr="009A1740">
          <w:rPr>
            <w:rStyle w:val="Hyperlink"/>
            <w:rFonts w:cs="Times New Roman"/>
          </w:rPr>
          <w:t>Developing Programs for English Language Learners: OCR Memorandum</w:t>
        </w:r>
      </w:hyperlink>
      <w:r w:rsidRPr="009A1740">
        <w:rPr>
          <w:rFonts w:cs="Times New Roman"/>
        </w:rPr>
        <w:t> </w:t>
      </w:r>
    </w:p>
    <w:p w14:paraId="073CDAD0" w14:textId="77777777" w:rsidR="003606B2" w:rsidRPr="003606B2" w:rsidRDefault="003606B2">
      <w:pPr>
        <w:rPr>
          <w:rFonts w:ascii="Times New Roman" w:hAnsi="Times New Roman" w:cs="Times New Roman"/>
        </w:rPr>
      </w:pPr>
    </w:p>
    <w:sectPr w:rsidR="003606B2" w:rsidRPr="003606B2" w:rsidSect="006D3C88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EE125" w14:textId="77777777" w:rsidR="00234A7C" w:rsidRDefault="00234A7C" w:rsidP="006D3C88">
      <w:pPr>
        <w:spacing w:after="0" w:line="240" w:lineRule="auto"/>
      </w:pPr>
      <w:r>
        <w:separator/>
      </w:r>
    </w:p>
  </w:endnote>
  <w:endnote w:type="continuationSeparator" w:id="0">
    <w:p w14:paraId="0D95D087" w14:textId="77777777" w:rsidR="00234A7C" w:rsidRDefault="00234A7C" w:rsidP="006D3C88">
      <w:pPr>
        <w:spacing w:after="0" w:line="240" w:lineRule="auto"/>
      </w:pPr>
      <w:r>
        <w:continuationSeparator/>
      </w:r>
    </w:p>
  </w:endnote>
  <w:endnote w:type="continuationNotice" w:id="1">
    <w:p w14:paraId="51F9DF31" w14:textId="77777777" w:rsidR="00234A7C" w:rsidRDefault="00234A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41106948"/>
      <w:docPartObj>
        <w:docPartGallery w:val="Page Numbers (Bottom of Page)"/>
        <w:docPartUnique/>
      </w:docPartObj>
    </w:sdtPr>
    <w:sdtContent>
      <w:p w14:paraId="33418678" w14:textId="204696E5" w:rsidR="00675518" w:rsidRDefault="0067551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32251A" w14:textId="77777777" w:rsidR="00675518" w:rsidRDefault="00675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61167246"/>
      <w:docPartObj>
        <w:docPartGallery w:val="Page Numbers (Bottom of Page)"/>
        <w:docPartUnique/>
      </w:docPartObj>
    </w:sdtPr>
    <w:sdtContent>
      <w:p w14:paraId="3E03DF5F" w14:textId="165F93CD" w:rsidR="00675518" w:rsidRDefault="0067551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C06D6EC" w14:textId="77777777" w:rsidR="00675518" w:rsidRDefault="00675518" w:rsidP="00675518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9837F" w14:textId="77777777" w:rsidR="00234A7C" w:rsidRDefault="00234A7C" w:rsidP="006D3C88">
      <w:pPr>
        <w:spacing w:after="0" w:line="240" w:lineRule="auto"/>
      </w:pPr>
      <w:r>
        <w:separator/>
      </w:r>
    </w:p>
  </w:footnote>
  <w:footnote w:type="continuationSeparator" w:id="0">
    <w:p w14:paraId="2EE490A9" w14:textId="77777777" w:rsidR="00234A7C" w:rsidRDefault="00234A7C" w:rsidP="006D3C88">
      <w:pPr>
        <w:spacing w:after="0" w:line="240" w:lineRule="auto"/>
      </w:pPr>
      <w:r>
        <w:continuationSeparator/>
      </w:r>
    </w:p>
  </w:footnote>
  <w:footnote w:type="continuationNotice" w:id="1">
    <w:p w14:paraId="1F0BBF24" w14:textId="77777777" w:rsidR="00234A7C" w:rsidRDefault="00234A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50D2"/>
    <w:multiLevelType w:val="hybridMultilevel"/>
    <w:tmpl w:val="ACDCF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14611"/>
    <w:multiLevelType w:val="multilevel"/>
    <w:tmpl w:val="CDF2541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90E43"/>
    <w:multiLevelType w:val="multilevel"/>
    <w:tmpl w:val="96CA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7523A4"/>
    <w:multiLevelType w:val="multilevel"/>
    <w:tmpl w:val="E8B8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000846"/>
    <w:multiLevelType w:val="multilevel"/>
    <w:tmpl w:val="2CB8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674A33"/>
    <w:multiLevelType w:val="multilevel"/>
    <w:tmpl w:val="782E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C71536"/>
    <w:multiLevelType w:val="multilevel"/>
    <w:tmpl w:val="D17A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C383E57"/>
    <w:multiLevelType w:val="multilevel"/>
    <w:tmpl w:val="B9FA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2514E7"/>
    <w:multiLevelType w:val="multilevel"/>
    <w:tmpl w:val="1E4A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5A0A3E"/>
    <w:multiLevelType w:val="hybridMultilevel"/>
    <w:tmpl w:val="AA88BAFC"/>
    <w:lvl w:ilvl="0" w:tplc="B6EE5D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923DF"/>
    <w:multiLevelType w:val="multilevel"/>
    <w:tmpl w:val="D224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9C28E8"/>
    <w:multiLevelType w:val="multilevel"/>
    <w:tmpl w:val="0B8E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EF6B91"/>
    <w:multiLevelType w:val="multilevel"/>
    <w:tmpl w:val="E524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D563FF"/>
    <w:multiLevelType w:val="hybridMultilevel"/>
    <w:tmpl w:val="CDF25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071233">
    <w:abstractNumId w:val="10"/>
  </w:num>
  <w:num w:numId="2" w16cid:durableId="1808277700">
    <w:abstractNumId w:val="3"/>
  </w:num>
  <w:num w:numId="3" w16cid:durableId="1047489462">
    <w:abstractNumId w:val="11"/>
  </w:num>
  <w:num w:numId="4" w16cid:durableId="33970081">
    <w:abstractNumId w:val="2"/>
  </w:num>
  <w:num w:numId="5" w16cid:durableId="1054619662">
    <w:abstractNumId w:val="8"/>
  </w:num>
  <w:num w:numId="6" w16cid:durableId="672876926">
    <w:abstractNumId w:val="6"/>
  </w:num>
  <w:num w:numId="7" w16cid:durableId="1554536832">
    <w:abstractNumId w:val="7"/>
  </w:num>
  <w:num w:numId="8" w16cid:durableId="940727152">
    <w:abstractNumId w:val="4"/>
  </w:num>
  <w:num w:numId="9" w16cid:durableId="1218131191">
    <w:abstractNumId w:val="12"/>
  </w:num>
  <w:num w:numId="10" w16cid:durableId="669335319">
    <w:abstractNumId w:val="5"/>
  </w:num>
  <w:num w:numId="11" w16cid:durableId="629364173">
    <w:abstractNumId w:val="9"/>
  </w:num>
  <w:num w:numId="12" w16cid:durableId="1154226646">
    <w:abstractNumId w:val="0"/>
  </w:num>
  <w:num w:numId="13" w16cid:durableId="393116856">
    <w:abstractNumId w:val="13"/>
  </w:num>
  <w:num w:numId="14" w16cid:durableId="113359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B2"/>
    <w:rsid w:val="00091DEC"/>
    <w:rsid w:val="00155C79"/>
    <w:rsid w:val="002204FA"/>
    <w:rsid w:val="00234A7C"/>
    <w:rsid w:val="002E6652"/>
    <w:rsid w:val="003606B2"/>
    <w:rsid w:val="00395B82"/>
    <w:rsid w:val="0058354A"/>
    <w:rsid w:val="005F3FE8"/>
    <w:rsid w:val="00675518"/>
    <w:rsid w:val="00697E89"/>
    <w:rsid w:val="006D3C88"/>
    <w:rsid w:val="0072100A"/>
    <w:rsid w:val="0096062D"/>
    <w:rsid w:val="009A1740"/>
    <w:rsid w:val="00A31468"/>
    <w:rsid w:val="00A85126"/>
    <w:rsid w:val="00BC48CB"/>
    <w:rsid w:val="00D178B2"/>
    <w:rsid w:val="00D31DFF"/>
    <w:rsid w:val="00E07E1D"/>
    <w:rsid w:val="00E47CFD"/>
    <w:rsid w:val="00ED0169"/>
    <w:rsid w:val="050E404D"/>
    <w:rsid w:val="0A104A09"/>
    <w:rsid w:val="10FA61AC"/>
    <w:rsid w:val="14191572"/>
    <w:rsid w:val="153C4306"/>
    <w:rsid w:val="195BFD52"/>
    <w:rsid w:val="1E6AA884"/>
    <w:rsid w:val="23471968"/>
    <w:rsid w:val="2522D1D4"/>
    <w:rsid w:val="3C09123F"/>
    <w:rsid w:val="3E098B58"/>
    <w:rsid w:val="3FEA7512"/>
    <w:rsid w:val="4B31932E"/>
    <w:rsid w:val="4DC80519"/>
    <w:rsid w:val="5900F46D"/>
    <w:rsid w:val="59F2E628"/>
    <w:rsid w:val="60C74646"/>
    <w:rsid w:val="64C63AA6"/>
    <w:rsid w:val="69A04C17"/>
    <w:rsid w:val="6DCCD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97A78"/>
  <w15:chartTrackingRefBased/>
  <w15:docId w15:val="{CFA37E5F-C206-41C5-AF3C-8594D0AE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6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2C5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C5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6B2"/>
    <w:pPr>
      <w:keepNext/>
      <w:keepLines/>
      <w:spacing w:before="160" w:after="80"/>
      <w:outlineLvl w:val="2"/>
    </w:pPr>
    <w:rPr>
      <w:rFonts w:eastAsiaTheme="majorEastAsia" w:cstheme="majorBidi"/>
      <w:color w:val="002C5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6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2C5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6B2"/>
    <w:pPr>
      <w:keepNext/>
      <w:keepLines/>
      <w:spacing w:before="80" w:after="40"/>
      <w:outlineLvl w:val="4"/>
    </w:pPr>
    <w:rPr>
      <w:rFonts w:eastAsiaTheme="majorEastAsia" w:cstheme="majorBidi"/>
      <w:color w:val="002C5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6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85FB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6B2"/>
    <w:pPr>
      <w:keepNext/>
      <w:keepLines/>
      <w:spacing w:before="40" w:after="0"/>
      <w:outlineLvl w:val="6"/>
    </w:pPr>
    <w:rPr>
      <w:rFonts w:eastAsiaTheme="majorEastAsia" w:cstheme="majorBidi"/>
      <w:color w:val="0085FB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6B2"/>
    <w:pPr>
      <w:keepNext/>
      <w:keepLines/>
      <w:spacing w:after="0"/>
      <w:outlineLvl w:val="7"/>
    </w:pPr>
    <w:rPr>
      <w:rFonts w:eastAsiaTheme="majorEastAsia" w:cstheme="majorBidi"/>
      <w:i/>
      <w:iCs/>
      <w:color w:val="005BAD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6B2"/>
    <w:pPr>
      <w:keepNext/>
      <w:keepLines/>
      <w:spacing w:after="0"/>
      <w:outlineLvl w:val="8"/>
    </w:pPr>
    <w:rPr>
      <w:rFonts w:eastAsiaTheme="majorEastAsia" w:cstheme="majorBidi"/>
      <w:color w:val="005BAD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6B2"/>
    <w:rPr>
      <w:rFonts w:asciiTheme="majorHAnsi" w:eastAsiaTheme="majorEastAsia" w:hAnsiTheme="majorHAnsi" w:cstheme="majorBidi"/>
      <w:color w:val="002C5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06B2"/>
    <w:rPr>
      <w:rFonts w:asciiTheme="majorHAnsi" w:eastAsiaTheme="majorEastAsia" w:hAnsiTheme="majorHAnsi" w:cstheme="majorBidi"/>
      <w:color w:val="002C5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6B2"/>
    <w:rPr>
      <w:rFonts w:eastAsiaTheme="majorEastAsia" w:cstheme="majorBidi"/>
      <w:color w:val="002C5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6B2"/>
    <w:rPr>
      <w:rFonts w:eastAsiaTheme="majorEastAsia" w:cstheme="majorBidi"/>
      <w:i/>
      <w:iCs/>
      <w:color w:val="002C5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6B2"/>
    <w:rPr>
      <w:rFonts w:eastAsiaTheme="majorEastAsia" w:cstheme="majorBidi"/>
      <w:color w:val="002C5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6B2"/>
    <w:rPr>
      <w:rFonts w:eastAsiaTheme="majorEastAsia" w:cstheme="majorBidi"/>
      <w:i/>
      <w:iCs/>
      <w:color w:val="0085FB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6B2"/>
    <w:rPr>
      <w:rFonts w:eastAsiaTheme="majorEastAsia" w:cstheme="majorBidi"/>
      <w:color w:val="0085FB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6B2"/>
    <w:rPr>
      <w:rFonts w:eastAsiaTheme="majorEastAsia" w:cstheme="majorBidi"/>
      <w:i/>
      <w:iCs/>
      <w:color w:val="005BAD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6B2"/>
    <w:rPr>
      <w:rFonts w:eastAsiaTheme="majorEastAsia" w:cstheme="majorBidi"/>
      <w:color w:val="005BAD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6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6B2"/>
    <w:pPr>
      <w:numPr>
        <w:ilvl w:val="1"/>
      </w:numPr>
    </w:pPr>
    <w:rPr>
      <w:rFonts w:eastAsiaTheme="majorEastAsia" w:cstheme="majorBidi"/>
      <w:color w:val="0085FB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6B2"/>
    <w:rPr>
      <w:rFonts w:eastAsiaTheme="majorEastAsia" w:cstheme="majorBidi"/>
      <w:color w:val="0085FB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6B2"/>
    <w:pPr>
      <w:spacing w:before="160"/>
      <w:jc w:val="center"/>
    </w:pPr>
    <w:rPr>
      <w:i/>
      <w:iCs/>
      <w:color w:val="0070D4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6B2"/>
    <w:rPr>
      <w:i/>
      <w:iCs/>
      <w:color w:val="0070D4" w:themeColor="text1" w:themeTint="BF"/>
    </w:rPr>
  </w:style>
  <w:style w:type="paragraph" w:styleId="ListParagraph">
    <w:name w:val="List Paragraph"/>
    <w:basedOn w:val="Normal"/>
    <w:uiPriority w:val="34"/>
    <w:qFormat/>
    <w:rsid w:val="003606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6B2"/>
    <w:rPr>
      <w:i/>
      <w:iCs/>
      <w:color w:val="002C5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6B2"/>
    <w:pPr>
      <w:pBdr>
        <w:top w:val="single" w:sz="4" w:space="10" w:color="002C54" w:themeColor="accent1" w:themeShade="BF"/>
        <w:bottom w:val="single" w:sz="4" w:space="10" w:color="002C54" w:themeColor="accent1" w:themeShade="BF"/>
      </w:pBdr>
      <w:spacing w:before="360" w:after="360"/>
      <w:ind w:left="864" w:right="864"/>
      <w:jc w:val="center"/>
    </w:pPr>
    <w:rPr>
      <w:i/>
      <w:iCs/>
      <w:color w:val="002C5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6B2"/>
    <w:rPr>
      <w:i/>
      <w:iCs/>
      <w:color w:val="002C5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6B2"/>
    <w:rPr>
      <w:b/>
      <w:bCs/>
      <w:smallCaps/>
      <w:color w:val="002C54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06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06B2"/>
    <w:rPr>
      <w:color w:val="8496B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3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C88"/>
  </w:style>
  <w:style w:type="paragraph" w:styleId="Footer">
    <w:name w:val="footer"/>
    <w:basedOn w:val="Normal"/>
    <w:link w:val="FooterChar"/>
    <w:uiPriority w:val="99"/>
    <w:unhideWhenUsed/>
    <w:rsid w:val="006D3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C88"/>
  </w:style>
  <w:style w:type="character" w:styleId="PageNumber">
    <w:name w:val="page number"/>
    <w:basedOn w:val="DefaultParagraphFont"/>
    <w:uiPriority w:val="99"/>
    <w:semiHidden/>
    <w:unhideWhenUsed/>
    <w:rsid w:val="00675518"/>
  </w:style>
  <w:style w:type="numbering" w:customStyle="1" w:styleId="CurrentList1">
    <w:name w:val="Current List1"/>
    <w:uiPriority w:val="99"/>
    <w:rsid w:val="0096062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45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0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9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0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6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6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20980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3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99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56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0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2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3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8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0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5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4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1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aw.lis.virginia.gov/vacode/title22.1/chapter13.2/" TargetMode="External"/><Relationship Id="rId18" Type="http://schemas.openxmlformats.org/officeDocument/2006/relationships/hyperlink" Target="https://ncela.ed.gov/sites/default/files/legacy/files/english_learner_toolkit/5-OELA_2017_inclusion_rev_508C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2.ed.gov/about/offices/list/ocr/ell/september27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oe.virginia.gov/home/showpublisheddocument/20424/638043624355500000" TargetMode="External"/><Relationship Id="rId17" Type="http://schemas.openxmlformats.org/officeDocument/2006/relationships/hyperlink" Target="https://www2.ed.gov/about/offices/list/oela/english-learner-toolkit/chap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cela.ed.gov/sites/default/files/legacy/files/english_learner_toolkit/2-OELA_2017_language_assist_508C.pdf" TargetMode="External"/><Relationship Id="rId20" Type="http://schemas.openxmlformats.org/officeDocument/2006/relationships/hyperlink" Target="https://www.bing.com/ck/a?!&amp;&amp;p=203ac1624a5b5da6JmltdHM9MTcxNTU1ODQwMCZpZ3VpZD0xZDU3MDRkMS0zNjU1LTY1MzMtMWNkNC0xNzYyMzdlMjY0NWMmaW5zaWQ9NTIyMg&amp;ptn=3&amp;ver=2&amp;hsh=3&amp;fclid=1d5704d1-3655-6533-1cd4-176237e2645c&amp;psq=lau+v+nichols&amp;u=a1aHR0cHM6Ly93d3cyLmVkLmdvdi9hYm91dC9vZmZpY2VzL2xpc3Qvb2NyL2VsbC9sYXUuaHRtbA&amp;ntb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w.lis.virginia.gov/admincode/title8/agency20/chapter23/section35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ed.gov/rschstat/eval/title-iii/language-instruction-ed-programs-report.pdf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2.ed.gov/about/offices/list/ocr/letters/colleague-el-201501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doe.virginia.gov/home/showpublisheddocument/32897/6380473543295000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DOE-2024">
  <a:themeElements>
    <a:clrScheme name="VDOE Colors">
      <a:dk1>
        <a:srgbClr val="003C71"/>
      </a:dk1>
      <a:lt1>
        <a:srgbClr val="FFFFFF"/>
      </a:lt1>
      <a:dk2>
        <a:srgbClr val="003C71"/>
      </a:dk2>
      <a:lt2>
        <a:srgbClr val="FFFFFF"/>
      </a:lt2>
      <a:accent1>
        <a:srgbClr val="003C71"/>
      </a:accent1>
      <a:accent2>
        <a:srgbClr val="FF6A39"/>
      </a:accent2>
      <a:accent3>
        <a:srgbClr val="555555"/>
      </a:accent3>
      <a:accent4>
        <a:srgbClr val="FFC600"/>
      </a:accent4>
      <a:accent5>
        <a:srgbClr val="0160B6"/>
      </a:accent5>
      <a:accent6>
        <a:srgbClr val="279989"/>
      </a:accent6>
      <a:hlink>
        <a:srgbClr val="0563C1"/>
      </a:hlink>
      <a:folHlink>
        <a:srgbClr val="8496B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DOE-Sans-2024" id="{EF1C6F16-FED0-49E1-993D-20321F372167}" vid="{C9C26808-01A3-421F-B5B2-C3B44A6BA43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955B40-3CCC-BD45-8436-85B51ADF3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4200</Characters>
  <Application>Microsoft Office Word</Application>
  <DocSecurity>0</DocSecurity>
  <Lines>35</Lines>
  <Paragraphs>9</Paragraphs>
  <ScaleCrop>false</ScaleCrop>
  <Manager/>
  <Company/>
  <LinksUpToDate>false</LinksUpToDate>
  <CharactersWithSpaces>4927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a Dual Language Immersion (Dl/I) as a   Language Instruction Educational Program (LIEP) Model In Virginia</dc:title>
  <dc:subject/>
  <dc:creator>Virginia Department of Education</dc:creator>
  <cp:keywords/>
  <dc:description/>
  <cp:lastModifiedBy>Cox, Jo-el (DOE)</cp:lastModifiedBy>
  <cp:revision>2</cp:revision>
  <dcterms:created xsi:type="dcterms:W3CDTF">2024-12-10T18:46:00Z</dcterms:created>
  <dcterms:modified xsi:type="dcterms:W3CDTF">2024-12-10T18:46:00Z</dcterms:modified>
  <cp:category/>
</cp:coreProperties>
</file>