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EB995" w14:textId="77777777" w:rsidR="000B4C8C" w:rsidRPr="008B3381" w:rsidRDefault="000B4C8C" w:rsidP="000B4C8C">
      <w:pPr>
        <w:pStyle w:val="Title"/>
        <w:tabs>
          <w:tab w:val="left" w:pos="10800"/>
        </w:tabs>
        <w:ind w:right="360"/>
        <w:rPr>
          <w:rFonts w:ascii="Aptos Display" w:hAnsi="Aptos Display"/>
        </w:rPr>
      </w:pPr>
      <w:r w:rsidRPr="008B3381">
        <w:rPr>
          <w:rFonts w:ascii="Aptos Display" w:hAnsi="Aptos Display"/>
        </w:rPr>
        <w:t>Visual Arts Teacher Observations</w:t>
      </w:r>
    </w:p>
    <w:p w14:paraId="71B2466B" w14:textId="77777777" w:rsidR="000B4C8C" w:rsidRDefault="000B4C8C" w:rsidP="000B4C8C">
      <w:pPr>
        <w:tabs>
          <w:tab w:val="left" w:pos="10800"/>
        </w:tabs>
        <w:ind w:right="360"/>
      </w:pPr>
    </w:p>
    <w:p w14:paraId="5F44670A" w14:textId="77777777" w:rsidR="000B4C8C" w:rsidRPr="008B3381" w:rsidRDefault="000B4C8C" w:rsidP="000B4C8C">
      <w:pPr>
        <w:tabs>
          <w:tab w:val="left" w:pos="10800"/>
        </w:tabs>
        <w:ind w:right="360"/>
        <w:rPr>
          <w:rFonts w:ascii="Aptos" w:hAnsi="Aptos"/>
          <w:i/>
          <w:iCs/>
          <w:color w:val="003D71"/>
          <w:sz w:val="24"/>
          <w:szCs w:val="24"/>
        </w:rPr>
      </w:pPr>
      <w:r w:rsidRPr="008B3381">
        <w:rPr>
          <w:rFonts w:ascii="Aptos" w:hAnsi="Aptos"/>
          <w:sz w:val="24"/>
          <w:szCs w:val="24"/>
        </w:rPr>
        <w:t xml:space="preserve">The purpose of this resource is to support school and division administrators in observations and coaching conversations for visual arts teachers in Virginia public schools. The strategies listed support effective instruction connected to skills and concepts of the </w:t>
      </w:r>
      <w:hyperlink r:id="rId7">
        <w:r w:rsidRPr="008B3381">
          <w:rPr>
            <w:rFonts w:ascii="Aptos" w:hAnsi="Aptos"/>
            <w:i/>
            <w:iCs/>
            <w:color w:val="1155CC"/>
            <w:sz w:val="24"/>
            <w:szCs w:val="24"/>
            <w:u w:val="single"/>
          </w:rPr>
          <w:t>2020 Visual Arts Standards of Learning.</w:t>
        </w:r>
      </w:hyperlink>
    </w:p>
    <w:p w14:paraId="5E31C153" w14:textId="77777777" w:rsidR="000B4C8C" w:rsidRPr="008B3381" w:rsidRDefault="000B4C8C" w:rsidP="000B4C8C">
      <w:pPr>
        <w:tabs>
          <w:tab w:val="left" w:pos="10800"/>
        </w:tabs>
        <w:ind w:right="360"/>
        <w:rPr>
          <w:rFonts w:ascii="Aptos" w:hAnsi="Aptos"/>
          <w:sz w:val="24"/>
          <w:szCs w:val="24"/>
        </w:rPr>
      </w:pPr>
    </w:p>
    <w:p w14:paraId="35D26D10" w14:textId="77777777" w:rsidR="000B4C8C" w:rsidRPr="008B3381" w:rsidRDefault="000B4C8C" w:rsidP="000B4C8C">
      <w:pPr>
        <w:tabs>
          <w:tab w:val="left" w:pos="10800"/>
        </w:tabs>
        <w:ind w:right="360"/>
        <w:rPr>
          <w:rFonts w:ascii="Aptos" w:hAnsi="Aptos"/>
          <w:sz w:val="24"/>
          <w:szCs w:val="24"/>
        </w:rPr>
      </w:pPr>
      <w:r w:rsidRPr="008B3381">
        <w:rPr>
          <w:rFonts w:ascii="Aptos" w:hAnsi="Aptos"/>
          <w:sz w:val="24"/>
          <w:szCs w:val="24"/>
        </w:rPr>
        <w:t>The instructional strategies listed in this resource do not encompass what could be seen in a single observation session. Instead, the administrator would see these strategies over the course of a school year. The strategies in this list can guide conversations between the educator and an administrator, instructional coach, department team, and professional learning community. It could also be a tool for teacher self-reflection.</w:t>
      </w:r>
    </w:p>
    <w:p w14:paraId="64AEC578" w14:textId="77777777" w:rsidR="000B4C8C" w:rsidRPr="008B3381" w:rsidRDefault="000B4C8C" w:rsidP="000B4C8C">
      <w:pPr>
        <w:tabs>
          <w:tab w:val="left" w:pos="10800"/>
        </w:tabs>
        <w:ind w:right="360"/>
        <w:rPr>
          <w:rFonts w:ascii="Aptos" w:hAnsi="Aptos"/>
          <w:sz w:val="24"/>
          <w:szCs w:val="24"/>
        </w:rPr>
      </w:pPr>
    </w:p>
    <w:p w14:paraId="1FDA7173" w14:textId="77777777" w:rsidR="000B4C8C" w:rsidRPr="008B3381" w:rsidRDefault="000B4C8C" w:rsidP="000B4C8C">
      <w:pPr>
        <w:tabs>
          <w:tab w:val="left" w:pos="10800"/>
        </w:tabs>
        <w:ind w:right="360"/>
        <w:rPr>
          <w:rFonts w:ascii="Aptos" w:hAnsi="Aptos"/>
          <w:sz w:val="24"/>
          <w:szCs w:val="24"/>
        </w:rPr>
      </w:pPr>
      <w:r w:rsidRPr="008B3381">
        <w:rPr>
          <w:rFonts w:ascii="Aptos" w:hAnsi="Aptos"/>
          <w:sz w:val="24"/>
          <w:szCs w:val="24"/>
        </w:rPr>
        <w:t>This resource can be used in combination with school and division expectations for classroom management, planning, and assessment.</w:t>
      </w:r>
    </w:p>
    <w:p w14:paraId="1A3F0EFD" w14:textId="77777777" w:rsidR="000B4C8C" w:rsidRDefault="000B4C8C" w:rsidP="000B4C8C">
      <w:pPr>
        <w:tabs>
          <w:tab w:val="left" w:pos="10800"/>
        </w:tabs>
        <w:ind w:right="360"/>
      </w:pPr>
    </w:p>
    <w:p w14:paraId="002EBAF5" w14:textId="77777777" w:rsidR="000B4C8C" w:rsidRPr="008B3381" w:rsidRDefault="000B4C8C" w:rsidP="000B4C8C">
      <w:pPr>
        <w:pStyle w:val="Heading1"/>
        <w:tabs>
          <w:tab w:val="left" w:pos="10800"/>
        </w:tabs>
        <w:ind w:right="360"/>
        <w:rPr>
          <w:rFonts w:ascii="Aptos Display" w:hAnsi="Aptos Display"/>
        </w:rPr>
      </w:pPr>
      <w:r w:rsidRPr="008B3381">
        <w:rPr>
          <w:rFonts w:ascii="Aptos Display" w:hAnsi="Aptos Display"/>
        </w:rPr>
        <w:t>Visual Art Instruction Look-</w:t>
      </w:r>
      <w:proofErr w:type="spellStart"/>
      <w:r w:rsidRPr="008B3381">
        <w:rPr>
          <w:rFonts w:ascii="Aptos Display" w:hAnsi="Aptos Display"/>
        </w:rPr>
        <w:t>fors</w:t>
      </w:r>
      <w:proofErr w:type="spellEnd"/>
    </w:p>
    <w:p w14:paraId="1BC70194"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Art content is the central focus of the lesson.</w:t>
      </w:r>
    </w:p>
    <w:p w14:paraId="3C944390"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Students understand the art-related goal or purpose of the lesson/unit.</w:t>
      </w:r>
    </w:p>
    <w:p w14:paraId="1EF0C767"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Lessons include the asking of open-ended questions to foster critical thinking skills and asking students to expand on or explain their thinking.</w:t>
      </w:r>
    </w:p>
    <w:p w14:paraId="161E76F7"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Students generate artistic ideas individually, in groups, and/or as a class.</w:t>
      </w:r>
    </w:p>
    <w:p w14:paraId="29C68C37"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Students have opportunities to view and respond to many different works of art.</w:t>
      </w:r>
    </w:p>
    <w:p w14:paraId="40FDF372"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Students engage in creative problem solving and student art products reflect individual creative ideas and outcomes.</w:t>
      </w:r>
    </w:p>
    <w:p w14:paraId="6971319B"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Students reflect on their work and the process of creating it in ways such as small or large group critique, exit tickets, video or audio reflections, self-assessments, and/or artist statements.</w:t>
      </w:r>
    </w:p>
    <w:p w14:paraId="3688F54E"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Students document their work and their creative process through electronic and/or non-electronic means such as sketchbooks and portfolios.</w:t>
      </w:r>
    </w:p>
    <w:p w14:paraId="3F377DB0"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Digital methods to create and present works of art are demonstrated and incorporated in the classroom.</w:t>
      </w:r>
    </w:p>
    <w:p w14:paraId="4EDDA64C"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Authentic connections between fields of knowledge support quality visual arts instruction.</w:t>
      </w:r>
    </w:p>
    <w:p w14:paraId="284197E3"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A variety of media, skills, and processes for creating art are introduced and developed.</w:t>
      </w:r>
    </w:p>
    <w:p w14:paraId="776CB6FA"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A safe, supportive, and organized creative studio environment is evident.</w:t>
      </w:r>
    </w:p>
    <w:p w14:paraId="20B49B05"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The teachers encourage skill and craftsmanship.</w:t>
      </w:r>
    </w:p>
    <w:p w14:paraId="4BABCE94" w14:textId="77777777" w:rsidR="000B4C8C" w:rsidRPr="008B3381" w:rsidRDefault="000B4C8C" w:rsidP="000B4C8C">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The correct and safe use of art materials and tools is emphasized and modeled.</w:t>
      </w:r>
    </w:p>
    <w:p w14:paraId="3DB2FD39" w14:textId="61FF34C2" w:rsidR="00920E89" w:rsidRPr="008B3381" w:rsidRDefault="000B4C8C" w:rsidP="008B3381">
      <w:pPr>
        <w:pStyle w:val="ListParagraph"/>
        <w:numPr>
          <w:ilvl w:val="0"/>
          <w:numId w:val="4"/>
        </w:numPr>
        <w:tabs>
          <w:tab w:val="left" w:pos="10800"/>
        </w:tabs>
        <w:ind w:right="360"/>
        <w:rPr>
          <w:rFonts w:ascii="Aptos" w:hAnsi="Aptos"/>
          <w:sz w:val="24"/>
          <w:szCs w:val="24"/>
        </w:rPr>
      </w:pPr>
      <w:r w:rsidRPr="008B3381">
        <w:rPr>
          <w:rFonts w:ascii="Aptos" w:hAnsi="Aptos"/>
          <w:sz w:val="24"/>
          <w:szCs w:val="24"/>
        </w:rPr>
        <w:t>Ethical and legal considerations of intellectual property and acceptable use of media and images are modeled and adhered to.</w:t>
      </w:r>
    </w:p>
    <w:sectPr w:rsidR="00920E89" w:rsidRPr="008B3381" w:rsidSect="008B3381">
      <w:headerReference w:type="default" r:id="rId8"/>
      <w:footerReference w:type="default" r:id="rId9"/>
      <w:pgSz w:w="12240" w:h="15840"/>
      <w:pgMar w:top="900" w:right="1080" w:bottom="1440" w:left="1080" w:header="27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7428C" w14:textId="77777777" w:rsidR="00567A97" w:rsidRDefault="00567A97">
      <w:pPr>
        <w:spacing w:line="240" w:lineRule="auto"/>
      </w:pPr>
      <w:r>
        <w:separator/>
      </w:r>
    </w:p>
  </w:endnote>
  <w:endnote w:type="continuationSeparator" w:id="0">
    <w:p w14:paraId="0B57CEBB" w14:textId="77777777" w:rsidR="00567A97" w:rsidRDefault="00567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Lora">
    <w:charset w:val="00"/>
    <w:family w:val="auto"/>
    <w:pitch w:val="variable"/>
    <w:sig w:usb0="A00002FF" w:usb1="50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80AE7" w14:textId="49C2AE68" w:rsidR="00000000" w:rsidRDefault="00000000" w:rsidP="0026257A">
    <w:r>
      <w:fldChar w:fldCharType="begin"/>
    </w:r>
    <w:r>
      <w:instrText>PAGE</w:instrText>
    </w:r>
    <w:r>
      <w:fldChar w:fldCharType="separate"/>
    </w:r>
    <w:r>
      <w:rPr>
        <w:noProof/>
      </w:rPr>
      <w:t>1</w:t>
    </w:r>
    <w:r>
      <w:fldChar w:fldCharType="end"/>
    </w:r>
    <w:r>
      <w:tab/>
    </w:r>
    <w:r>
      <w:tab/>
    </w:r>
    <w:r>
      <w:tab/>
    </w:r>
    <w:r>
      <w:tab/>
    </w:r>
    <w:r>
      <w:tab/>
    </w:r>
    <w:r>
      <w:tab/>
    </w:r>
    <w:r>
      <w:tab/>
    </w:r>
    <w:r>
      <w:tab/>
    </w:r>
    <w:r>
      <w:tab/>
    </w:r>
    <w:r>
      <w:tab/>
    </w:r>
    <w:r>
      <w:tab/>
      <w:t xml:space="preserve"> </w:t>
    </w:r>
  </w:p>
  <w:p w14:paraId="4E8709F2" w14:textId="77777777" w:rsidR="00000000" w:rsidRDefault="00000000" w:rsidP="002625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D3C4A" w14:textId="77777777" w:rsidR="00567A97" w:rsidRDefault="00567A97">
      <w:pPr>
        <w:spacing w:line="240" w:lineRule="auto"/>
      </w:pPr>
      <w:r>
        <w:separator/>
      </w:r>
    </w:p>
  </w:footnote>
  <w:footnote w:type="continuationSeparator" w:id="0">
    <w:p w14:paraId="6698F5EA" w14:textId="77777777" w:rsidR="00567A97" w:rsidRDefault="00567A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41372" w14:textId="77777777" w:rsidR="00000000" w:rsidRDefault="00000000" w:rsidP="007F3410">
    <w:pPr>
      <w:pStyle w:val="Header"/>
      <w:tabs>
        <w:tab w:val="left" w:pos="1520"/>
      </w:tabs>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A26F5"/>
    <w:multiLevelType w:val="hybridMultilevel"/>
    <w:tmpl w:val="FFFFFFFF"/>
    <w:lvl w:ilvl="0" w:tplc="840C22B6">
      <w:start w:val="1"/>
      <w:numFmt w:val="bullet"/>
      <w:lvlText w:val=""/>
      <w:lvlJc w:val="left"/>
      <w:pPr>
        <w:ind w:left="720" w:hanging="360"/>
      </w:pPr>
      <w:rPr>
        <w:rFonts w:ascii="Symbol" w:hAnsi="Symbol" w:hint="default"/>
      </w:rPr>
    </w:lvl>
    <w:lvl w:ilvl="1" w:tplc="0EC4E8EC">
      <w:start w:val="1"/>
      <w:numFmt w:val="bullet"/>
      <w:lvlText w:val="o"/>
      <w:lvlJc w:val="left"/>
      <w:pPr>
        <w:ind w:left="1440" w:hanging="360"/>
      </w:pPr>
      <w:rPr>
        <w:rFonts w:ascii="Courier New" w:hAnsi="Courier New" w:hint="default"/>
      </w:rPr>
    </w:lvl>
    <w:lvl w:ilvl="2" w:tplc="5664CB02">
      <w:start w:val="1"/>
      <w:numFmt w:val="bullet"/>
      <w:lvlText w:val=""/>
      <w:lvlJc w:val="left"/>
      <w:pPr>
        <w:ind w:left="2160" w:hanging="360"/>
      </w:pPr>
      <w:rPr>
        <w:rFonts w:ascii="Wingdings" w:hAnsi="Wingdings" w:hint="default"/>
      </w:rPr>
    </w:lvl>
    <w:lvl w:ilvl="3" w:tplc="C8F8724C">
      <w:start w:val="1"/>
      <w:numFmt w:val="bullet"/>
      <w:lvlText w:val=""/>
      <w:lvlJc w:val="left"/>
      <w:pPr>
        <w:ind w:left="2880" w:hanging="360"/>
      </w:pPr>
      <w:rPr>
        <w:rFonts w:ascii="Symbol" w:hAnsi="Symbol" w:hint="default"/>
      </w:rPr>
    </w:lvl>
    <w:lvl w:ilvl="4" w:tplc="30849D0A">
      <w:start w:val="1"/>
      <w:numFmt w:val="bullet"/>
      <w:lvlText w:val="o"/>
      <w:lvlJc w:val="left"/>
      <w:pPr>
        <w:ind w:left="3600" w:hanging="360"/>
      </w:pPr>
      <w:rPr>
        <w:rFonts w:ascii="Courier New" w:hAnsi="Courier New" w:hint="default"/>
      </w:rPr>
    </w:lvl>
    <w:lvl w:ilvl="5" w:tplc="262001AE">
      <w:start w:val="1"/>
      <w:numFmt w:val="bullet"/>
      <w:lvlText w:val=""/>
      <w:lvlJc w:val="left"/>
      <w:pPr>
        <w:ind w:left="4320" w:hanging="360"/>
      </w:pPr>
      <w:rPr>
        <w:rFonts w:ascii="Wingdings" w:hAnsi="Wingdings" w:hint="default"/>
      </w:rPr>
    </w:lvl>
    <w:lvl w:ilvl="6" w:tplc="E312D154">
      <w:start w:val="1"/>
      <w:numFmt w:val="bullet"/>
      <w:lvlText w:val=""/>
      <w:lvlJc w:val="left"/>
      <w:pPr>
        <w:ind w:left="5040" w:hanging="360"/>
      </w:pPr>
      <w:rPr>
        <w:rFonts w:ascii="Symbol" w:hAnsi="Symbol" w:hint="default"/>
      </w:rPr>
    </w:lvl>
    <w:lvl w:ilvl="7" w:tplc="FBF46770">
      <w:start w:val="1"/>
      <w:numFmt w:val="bullet"/>
      <w:lvlText w:val="o"/>
      <w:lvlJc w:val="left"/>
      <w:pPr>
        <w:ind w:left="5760" w:hanging="360"/>
      </w:pPr>
      <w:rPr>
        <w:rFonts w:ascii="Courier New" w:hAnsi="Courier New" w:hint="default"/>
      </w:rPr>
    </w:lvl>
    <w:lvl w:ilvl="8" w:tplc="AD369E7C">
      <w:start w:val="1"/>
      <w:numFmt w:val="bullet"/>
      <w:lvlText w:val=""/>
      <w:lvlJc w:val="left"/>
      <w:pPr>
        <w:ind w:left="6480" w:hanging="360"/>
      </w:pPr>
      <w:rPr>
        <w:rFonts w:ascii="Wingdings" w:hAnsi="Wingdings" w:hint="default"/>
      </w:rPr>
    </w:lvl>
  </w:abstractNum>
  <w:abstractNum w:abstractNumId="1" w15:restartNumberingAfterBreak="0">
    <w:nsid w:val="23AC991F"/>
    <w:multiLevelType w:val="hybridMultilevel"/>
    <w:tmpl w:val="FFFFFFFF"/>
    <w:lvl w:ilvl="0" w:tplc="6E180856">
      <w:start w:val="1"/>
      <w:numFmt w:val="bullet"/>
      <w:lvlText w:val=""/>
      <w:lvlJc w:val="left"/>
      <w:pPr>
        <w:ind w:left="720" w:hanging="360"/>
      </w:pPr>
      <w:rPr>
        <w:rFonts w:ascii="Symbol" w:hAnsi="Symbol" w:hint="default"/>
      </w:rPr>
    </w:lvl>
    <w:lvl w:ilvl="1" w:tplc="19F08608">
      <w:start w:val="1"/>
      <w:numFmt w:val="bullet"/>
      <w:lvlText w:val="o"/>
      <w:lvlJc w:val="left"/>
      <w:pPr>
        <w:ind w:left="1440" w:hanging="360"/>
      </w:pPr>
      <w:rPr>
        <w:rFonts w:ascii="Courier New" w:hAnsi="Courier New" w:hint="default"/>
      </w:rPr>
    </w:lvl>
    <w:lvl w:ilvl="2" w:tplc="494EB838">
      <w:start w:val="1"/>
      <w:numFmt w:val="bullet"/>
      <w:lvlText w:val=""/>
      <w:lvlJc w:val="left"/>
      <w:pPr>
        <w:ind w:left="2160" w:hanging="360"/>
      </w:pPr>
      <w:rPr>
        <w:rFonts w:ascii="Wingdings" w:hAnsi="Wingdings" w:hint="default"/>
      </w:rPr>
    </w:lvl>
    <w:lvl w:ilvl="3" w:tplc="F3267C6E">
      <w:start w:val="1"/>
      <w:numFmt w:val="bullet"/>
      <w:lvlText w:val=""/>
      <w:lvlJc w:val="left"/>
      <w:pPr>
        <w:ind w:left="2880" w:hanging="360"/>
      </w:pPr>
      <w:rPr>
        <w:rFonts w:ascii="Symbol" w:hAnsi="Symbol" w:hint="default"/>
      </w:rPr>
    </w:lvl>
    <w:lvl w:ilvl="4" w:tplc="237CA13E">
      <w:start w:val="1"/>
      <w:numFmt w:val="bullet"/>
      <w:lvlText w:val="o"/>
      <w:lvlJc w:val="left"/>
      <w:pPr>
        <w:ind w:left="3600" w:hanging="360"/>
      </w:pPr>
      <w:rPr>
        <w:rFonts w:ascii="Courier New" w:hAnsi="Courier New" w:hint="default"/>
      </w:rPr>
    </w:lvl>
    <w:lvl w:ilvl="5" w:tplc="4D925B2C">
      <w:start w:val="1"/>
      <w:numFmt w:val="bullet"/>
      <w:lvlText w:val=""/>
      <w:lvlJc w:val="left"/>
      <w:pPr>
        <w:ind w:left="4320" w:hanging="360"/>
      </w:pPr>
      <w:rPr>
        <w:rFonts w:ascii="Wingdings" w:hAnsi="Wingdings" w:hint="default"/>
      </w:rPr>
    </w:lvl>
    <w:lvl w:ilvl="6" w:tplc="086C77D4">
      <w:start w:val="1"/>
      <w:numFmt w:val="bullet"/>
      <w:lvlText w:val=""/>
      <w:lvlJc w:val="left"/>
      <w:pPr>
        <w:ind w:left="5040" w:hanging="360"/>
      </w:pPr>
      <w:rPr>
        <w:rFonts w:ascii="Symbol" w:hAnsi="Symbol" w:hint="default"/>
      </w:rPr>
    </w:lvl>
    <w:lvl w:ilvl="7" w:tplc="8780CD14">
      <w:start w:val="1"/>
      <w:numFmt w:val="bullet"/>
      <w:lvlText w:val="o"/>
      <w:lvlJc w:val="left"/>
      <w:pPr>
        <w:ind w:left="5760" w:hanging="360"/>
      </w:pPr>
      <w:rPr>
        <w:rFonts w:ascii="Courier New" w:hAnsi="Courier New" w:hint="default"/>
      </w:rPr>
    </w:lvl>
    <w:lvl w:ilvl="8" w:tplc="0036565E">
      <w:start w:val="1"/>
      <w:numFmt w:val="bullet"/>
      <w:lvlText w:val=""/>
      <w:lvlJc w:val="left"/>
      <w:pPr>
        <w:ind w:left="6480" w:hanging="360"/>
      </w:pPr>
      <w:rPr>
        <w:rFonts w:ascii="Wingdings" w:hAnsi="Wingdings" w:hint="default"/>
      </w:rPr>
    </w:lvl>
  </w:abstractNum>
  <w:abstractNum w:abstractNumId="2" w15:restartNumberingAfterBreak="0">
    <w:nsid w:val="4287135A"/>
    <w:multiLevelType w:val="hybridMultilevel"/>
    <w:tmpl w:val="FFFFFFFF"/>
    <w:lvl w:ilvl="0" w:tplc="9FC0FCE8">
      <w:start w:val="1"/>
      <w:numFmt w:val="bullet"/>
      <w:lvlText w:val=""/>
      <w:lvlJc w:val="left"/>
      <w:pPr>
        <w:ind w:left="720" w:hanging="360"/>
      </w:pPr>
      <w:rPr>
        <w:rFonts w:ascii="Symbol" w:hAnsi="Symbol" w:hint="default"/>
      </w:rPr>
    </w:lvl>
    <w:lvl w:ilvl="1" w:tplc="EAA45D90">
      <w:start w:val="1"/>
      <w:numFmt w:val="bullet"/>
      <w:lvlText w:val="o"/>
      <w:lvlJc w:val="left"/>
      <w:pPr>
        <w:ind w:left="1440" w:hanging="360"/>
      </w:pPr>
      <w:rPr>
        <w:rFonts w:ascii="Courier New" w:hAnsi="Courier New" w:hint="default"/>
      </w:rPr>
    </w:lvl>
    <w:lvl w:ilvl="2" w:tplc="D730E868">
      <w:start w:val="1"/>
      <w:numFmt w:val="bullet"/>
      <w:lvlText w:val=""/>
      <w:lvlJc w:val="left"/>
      <w:pPr>
        <w:ind w:left="2160" w:hanging="360"/>
      </w:pPr>
      <w:rPr>
        <w:rFonts w:ascii="Wingdings" w:hAnsi="Wingdings" w:hint="default"/>
      </w:rPr>
    </w:lvl>
    <w:lvl w:ilvl="3" w:tplc="8BB2D7E0">
      <w:start w:val="1"/>
      <w:numFmt w:val="bullet"/>
      <w:lvlText w:val=""/>
      <w:lvlJc w:val="left"/>
      <w:pPr>
        <w:ind w:left="2880" w:hanging="360"/>
      </w:pPr>
      <w:rPr>
        <w:rFonts w:ascii="Symbol" w:hAnsi="Symbol" w:hint="default"/>
      </w:rPr>
    </w:lvl>
    <w:lvl w:ilvl="4" w:tplc="36409BC4">
      <w:start w:val="1"/>
      <w:numFmt w:val="bullet"/>
      <w:lvlText w:val="o"/>
      <w:lvlJc w:val="left"/>
      <w:pPr>
        <w:ind w:left="3600" w:hanging="360"/>
      </w:pPr>
      <w:rPr>
        <w:rFonts w:ascii="Courier New" w:hAnsi="Courier New" w:hint="default"/>
      </w:rPr>
    </w:lvl>
    <w:lvl w:ilvl="5" w:tplc="21CCD75A">
      <w:start w:val="1"/>
      <w:numFmt w:val="bullet"/>
      <w:lvlText w:val=""/>
      <w:lvlJc w:val="left"/>
      <w:pPr>
        <w:ind w:left="4320" w:hanging="360"/>
      </w:pPr>
      <w:rPr>
        <w:rFonts w:ascii="Wingdings" w:hAnsi="Wingdings" w:hint="default"/>
      </w:rPr>
    </w:lvl>
    <w:lvl w:ilvl="6" w:tplc="42729082">
      <w:start w:val="1"/>
      <w:numFmt w:val="bullet"/>
      <w:lvlText w:val=""/>
      <w:lvlJc w:val="left"/>
      <w:pPr>
        <w:ind w:left="5040" w:hanging="360"/>
      </w:pPr>
      <w:rPr>
        <w:rFonts w:ascii="Symbol" w:hAnsi="Symbol" w:hint="default"/>
      </w:rPr>
    </w:lvl>
    <w:lvl w:ilvl="7" w:tplc="71B229C4">
      <w:start w:val="1"/>
      <w:numFmt w:val="bullet"/>
      <w:lvlText w:val="o"/>
      <w:lvlJc w:val="left"/>
      <w:pPr>
        <w:ind w:left="5760" w:hanging="360"/>
      </w:pPr>
      <w:rPr>
        <w:rFonts w:ascii="Courier New" w:hAnsi="Courier New" w:hint="default"/>
      </w:rPr>
    </w:lvl>
    <w:lvl w:ilvl="8" w:tplc="9C3E9120">
      <w:start w:val="1"/>
      <w:numFmt w:val="bullet"/>
      <w:lvlText w:val=""/>
      <w:lvlJc w:val="left"/>
      <w:pPr>
        <w:ind w:left="6480" w:hanging="360"/>
      </w:pPr>
      <w:rPr>
        <w:rFonts w:ascii="Wingdings" w:hAnsi="Wingdings" w:hint="default"/>
      </w:rPr>
    </w:lvl>
  </w:abstractNum>
  <w:abstractNum w:abstractNumId="3" w15:restartNumberingAfterBreak="0">
    <w:nsid w:val="74C3B350"/>
    <w:multiLevelType w:val="hybridMultilevel"/>
    <w:tmpl w:val="FFFFFFFF"/>
    <w:lvl w:ilvl="0" w:tplc="91D403C4">
      <w:start w:val="1"/>
      <w:numFmt w:val="bullet"/>
      <w:lvlText w:val=""/>
      <w:lvlJc w:val="left"/>
      <w:pPr>
        <w:ind w:left="720" w:hanging="360"/>
      </w:pPr>
      <w:rPr>
        <w:rFonts w:ascii="Symbol" w:hAnsi="Symbol" w:hint="default"/>
      </w:rPr>
    </w:lvl>
    <w:lvl w:ilvl="1" w:tplc="CB2CF7E6">
      <w:start w:val="1"/>
      <w:numFmt w:val="bullet"/>
      <w:lvlText w:val="o"/>
      <w:lvlJc w:val="left"/>
      <w:pPr>
        <w:ind w:left="1440" w:hanging="360"/>
      </w:pPr>
      <w:rPr>
        <w:rFonts w:ascii="Courier New" w:hAnsi="Courier New" w:hint="default"/>
      </w:rPr>
    </w:lvl>
    <w:lvl w:ilvl="2" w:tplc="B966FD4A">
      <w:start w:val="1"/>
      <w:numFmt w:val="bullet"/>
      <w:lvlText w:val=""/>
      <w:lvlJc w:val="left"/>
      <w:pPr>
        <w:ind w:left="2160" w:hanging="360"/>
      </w:pPr>
      <w:rPr>
        <w:rFonts w:ascii="Wingdings" w:hAnsi="Wingdings" w:hint="default"/>
      </w:rPr>
    </w:lvl>
    <w:lvl w:ilvl="3" w:tplc="A3CEC6B0">
      <w:start w:val="1"/>
      <w:numFmt w:val="bullet"/>
      <w:lvlText w:val=""/>
      <w:lvlJc w:val="left"/>
      <w:pPr>
        <w:ind w:left="2880" w:hanging="360"/>
      </w:pPr>
      <w:rPr>
        <w:rFonts w:ascii="Symbol" w:hAnsi="Symbol" w:hint="default"/>
      </w:rPr>
    </w:lvl>
    <w:lvl w:ilvl="4" w:tplc="0374F4E8">
      <w:start w:val="1"/>
      <w:numFmt w:val="bullet"/>
      <w:lvlText w:val="o"/>
      <w:lvlJc w:val="left"/>
      <w:pPr>
        <w:ind w:left="3600" w:hanging="360"/>
      </w:pPr>
      <w:rPr>
        <w:rFonts w:ascii="Courier New" w:hAnsi="Courier New" w:hint="default"/>
      </w:rPr>
    </w:lvl>
    <w:lvl w:ilvl="5" w:tplc="0ACA2EAA">
      <w:start w:val="1"/>
      <w:numFmt w:val="bullet"/>
      <w:lvlText w:val=""/>
      <w:lvlJc w:val="left"/>
      <w:pPr>
        <w:ind w:left="4320" w:hanging="360"/>
      </w:pPr>
      <w:rPr>
        <w:rFonts w:ascii="Wingdings" w:hAnsi="Wingdings" w:hint="default"/>
      </w:rPr>
    </w:lvl>
    <w:lvl w:ilvl="6" w:tplc="A1BC1CF0">
      <w:start w:val="1"/>
      <w:numFmt w:val="bullet"/>
      <w:lvlText w:val=""/>
      <w:lvlJc w:val="left"/>
      <w:pPr>
        <w:ind w:left="5040" w:hanging="360"/>
      </w:pPr>
      <w:rPr>
        <w:rFonts w:ascii="Symbol" w:hAnsi="Symbol" w:hint="default"/>
      </w:rPr>
    </w:lvl>
    <w:lvl w:ilvl="7" w:tplc="989AE3BC">
      <w:start w:val="1"/>
      <w:numFmt w:val="bullet"/>
      <w:lvlText w:val="o"/>
      <w:lvlJc w:val="left"/>
      <w:pPr>
        <w:ind w:left="5760" w:hanging="360"/>
      </w:pPr>
      <w:rPr>
        <w:rFonts w:ascii="Courier New" w:hAnsi="Courier New" w:hint="default"/>
      </w:rPr>
    </w:lvl>
    <w:lvl w:ilvl="8" w:tplc="3EFCCAFE">
      <w:start w:val="1"/>
      <w:numFmt w:val="bullet"/>
      <w:lvlText w:val=""/>
      <w:lvlJc w:val="left"/>
      <w:pPr>
        <w:ind w:left="6480" w:hanging="360"/>
      </w:pPr>
      <w:rPr>
        <w:rFonts w:ascii="Wingdings" w:hAnsi="Wingdings" w:hint="default"/>
      </w:rPr>
    </w:lvl>
  </w:abstractNum>
  <w:num w:numId="1" w16cid:durableId="1152790387">
    <w:abstractNumId w:val="2"/>
  </w:num>
  <w:num w:numId="2" w16cid:durableId="1230653002">
    <w:abstractNumId w:val="1"/>
  </w:num>
  <w:num w:numId="3" w16cid:durableId="1301114776">
    <w:abstractNumId w:val="3"/>
  </w:num>
  <w:num w:numId="4" w16cid:durableId="1643578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85"/>
    <w:rsid w:val="000B4C8C"/>
    <w:rsid w:val="00146162"/>
    <w:rsid w:val="002F168F"/>
    <w:rsid w:val="00430D04"/>
    <w:rsid w:val="00567A97"/>
    <w:rsid w:val="006B4A85"/>
    <w:rsid w:val="00730690"/>
    <w:rsid w:val="00870A20"/>
    <w:rsid w:val="008B3381"/>
    <w:rsid w:val="008D02B9"/>
    <w:rsid w:val="00920E89"/>
    <w:rsid w:val="00B677E8"/>
    <w:rsid w:val="00CE6DC2"/>
    <w:rsid w:val="00F2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C470"/>
  <w15:chartTrackingRefBased/>
  <w15:docId w15:val="{A6DD5F70-6B6E-4B62-B641-CFB141A8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A85"/>
    <w:pPr>
      <w:pBdr>
        <w:top w:val="nil"/>
        <w:left w:val="nil"/>
        <w:bottom w:val="nil"/>
        <w:right w:val="nil"/>
        <w:between w:val="nil"/>
      </w:pBdr>
      <w:spacing w:after="0"/>
      <w:ind w:left="360"/>
    </w:pPr>
    <w:rPr>
      <w:rFonts w:ascii="Lato" w:eastAsia="Times New Roman" w:hAnsi="Lato" w:cs="Times New Roman"/>
      <w:color w:val="000000" w:themeColor="text1"/>
      <w:kern w:val="0"/>
      <w:sz w:val="20"/>
      <w:szCs w:val="20"/>
      <w:lang w:eastAsia="ja-JP"/>
      <w14:ligatures w14:val="none"/>
    </w:rPr>
  </w:style>
  <w:style w:type="paragraph" w:styleId="Heading1">
    <w:name w:val="heading 1"/>
    <w:basedOn w:val="Normal"/>
    <w:next w:val="Normal"/>
    <w:link w:val="Heading1Char"/>
    <w:uiPriority w:val="9"/>
    <w:qFormat/>
    <w:rsid w:val="006B4A85"/>
    <w:pPr>
      <w:keepNext/>
      <w:keepLines/>
      <w:spacing w:before="240"/>
      <w:outlineLvl w:val="0"/>
    </w:pPr>
    <w:rPr>
      <w:rFonts w:ascii="Lora" w:eastAsia="Lora" w:hAnsi="Lora" w:cs="Lor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A85"/>
    <w:rPr>
      <w:rFonts w:ascii="Lora" w:eastAsia="Lora" w:hAnsi="Lora" w:cs="Lora"/>
      <w:b/>
      <w:color w:val="000000" w:themeColor="text1"/>
      <w:kern w:val="0"/>
      <w:sz w:val="28"/>
      <w:szCs w:val="28"/>
      <w:lang w:eastAsia="ja-JP"/>
      <w14:ligatures w14:val="none"/>
    </w:rPr>
  </w:style>
  <w:style w:type="paragraph" w:styleId="Title">
    <w:name w:val="Title"/>
    <w:basedOn w:val="Normal"/>
    <w:next w:val="Normal"/>
    <w:link w:val="TitleChar"/>
    <w:uiPriority w:val="10"/>
    <w:qFormat/>
    <w:rsid w:val="006B4A85"/>
    <w:pPr>
      <w:spacing w:line="240" w:lineRule="auto"/>
      <w:jc w:val="center"/>
    </w:pPr>
    <w:rPr>
      <w:rFonts w:ascii="Lora" w:eastAsia="Lora" w:hAnsi="Lora" w:cs="Lora"/>
      <w:b/>
      <w:color w:val="003D71"/>
      <w:sz w:val="44"/>
      <w:szCs w:val="44"/>
    </w:rPr>
  </w:style>
  <w:style w:type="character" w:customStyle="1" w:styleId="TitleChar">
    <w:name w:val="Title Char"/>
    <w:basedOn w:val="DefaultParagraphFont"/>
    <w:link w:val="Title"/>
    <w:uiPriority w:val="10"/>
    <w:rsid w:val="006B4A85"/>
    <w:rPr>
      <w:rFonts w:ascii="Lora" w:eastAsia="Lora" w:hAnsi="Lora" w:cs="Lora"/>
      <w:b/>
      <w:color w:val="003D71"/>
      <w:kern w:val="0"/>
      <w:sz w:val="44"/>
      <w:szCs w:val="44"/>
      <w:lang w:eastAsia="ja-JP"/>
      <w14:ligatures w14:val="none"/>
    </w:rPr>
  </w:style>
  <w:style w:type="paragraph" w:styleId="ListParagraph">
    <w:name w:val="List Paragraph"/>
    <w:basedOn w:val="Normal"/>
    <w:uiPriority w:val="34"/>
    <w:qFormat/>
    <w:rsid w:val="006B4A85"/>
    <w:pPr>
      <w:contextualSpacing/>
    </w:pPr>
  </w:style>
  <w:style w:type="paragraph" w:styleId="Header">
    <w:name w:val="header"/>
    <w:basedOn w:val="Normal"/>
    <w:link w:val="HeaderChar"/>
    <w:uiPriority w:val="99"/>
    <w:unhideWhenUsed/>
    <w:rsid w:val="000B4C8C"/>
    <w:pPr>
      <w:tabs>
        <w:tab w:val="center" w:pos="4680"/>
        <w:tab w:val="right" w:pos="9360"/>
      </w:tabs>
      <w:spacing w:line="240" w:lineRule="auto"/>
    </w:pPr>
  </w:style>
  <w:style w:type="character" w:customStyle="1" w:styleId="HeaderChar">
    <w:name w:val="Header Char"/>
    <w:basedOn w:val="DefaultParagraphFont"/>
    <w:link w:val="Header"/>
    <w:uiPriority w:val="99"/>
    <w:rsid w:val="000B4C8C"/>
    <w:rPr>
      <w:rFonts w:ascii="Lato" w:eastAsia="Times New Roman" w:hAnsi="Lato" w:cs="Times New Roman"/>
      <w:color w:val="000000" w:themeColor="text1"/>
      <w:kern w:val="0"/>
      <w:sz w:val="20"/>
      <w:szCs w:val="20"/>
      <w:lang w:eastAsia="ja-JP"/>
      <w14:ligatures w14:val="none"/>
    </w:rPr>
  </w:style>
  <w:style w:type="paragraph" w:styleId="Footer">
    <w:name w:val="footer"/>
    <w:basedOn w:val="Normal"/>
    <w:link w:val="FooterChar"/>
    <w:uiPriority w:val="99"/>
    <w:unhideWhenUsed/>
    <w:rsid w:val="008B3381"/>
    <w:pPr>
      <w:tabs>
        <w:tab w:val="center" w:pos="4680"/>
        <w:tab w:val="right" w:pos="9360"/>
      </w:tabs>
      <w:spacing w:line="240" w:lineRule="auto"/>
    </w:pPr>
  </w:style>
  <w:style w:type="character" w:customStyle="1" w:styleId="FooterChar">
    <w:name w:val="Footer Char"/>
    <w:basedOn w:val="DefaultParagraphFont"/>
    <w:link w:val="Footer"/>
    <w:uiPriority w:val="99"/>
    <w:rsid w:val="008B3381"/>
    <w:rPr>
      <w:rFonts w:ascii="Lato" w:eastAsia="Times New Roman" w:hAnsi="Lato" w:cs="Times New Roman"/>
      <w:color w:val="000000" w:themeColor="text1"/>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e.virginia.gov/teaching-learning-assessment/k-12-standards-instruction/fine-arts/visual-a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2168</Characters>
  <Application>Microsoft Office Word</Application>
  <DocSecurity>0</DocSecurity>
  <Lines>18</Lines>
  <Paragraphs>5</Paragraphs>
  <ScaleCrop>false</ScaleCrop>
  <Company>VITA</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Bisogno, Kelly (DOE)</dc:creator>
  <cp:keywords/>
  <dc:description/>
  <cp:lastModifiedBy>Bisogno, Kelly (DOE)</cp:lastModifiedBy>
  <cp:revision>4</cp:revision>
  <cp:lastPrinted>2024-10-21T16:40:00Z</cp:lastPrinted>
  <dcterms:created xsi:type="dcterms:W3CDTF">2023-08-21T16:07:00Z</dcterms:created>
  <dcterms:modified xsi:type="dcterms:W3CDTF">2024-10-21T16:50:00Z</dcterms:modified>
</cp:coreProperties>
</file>