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21F7" w14:textId="73C6B6BA" w:rsidR="007419CC" w:rsidRDefault="007419CC" w:rsidP="45439B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2C54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940F9B5" wp14:editId="573D62DD">
            <wp:simplePos x="0" y="0"/>
            <wp:positionH relativeFrom="column">
              <wp:posOffset>4657725</wp:posOffset>
            </wp:positionH>
            <wp:positionV relativeFrom="page">
              <wp:posOffset>676275</wp:posOffset>
            </wp:positionV>
            <wp:extent cx="1257300" cy="857250"/>
            <wp:effectExtent l="0" t="0" r="0" b="0"/>
            <wp:wrapNone/>
            <wp:docPr id="5" name="Picture 2" descr="Vir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rgi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45439B87">
        <w:rPr>
          <w:rStyle w:val="normaltextrun"/>
          <w:rFonts w:ascii="Aptos Display" w:eastAsiaTheme="majorEastAsia" w:hAnsi="Aptos Display" w:cs="Segoe UI"/>
          <w:color w:val="002C54"/>
          <w:sz w:val="40"/>
          <w:szCs w:val="40"/>
        </w:rPr>
        <w:t>Accelerated Math Pathways</w:t>
      </w:r>
      <w:r w:rsidRPr="45439B87">
        <w:rPr>
          <w:rStyle w:val="eop"/>
          <w:rFonts w:ascii="Aptos Display" w:eastAsiaTheme="majorEastAsia" w:hAnsi="Aptos Display" w:cs="Segoe UI"/>
          <w:color w:val="002C54"/>
          <w:sz w:val="40"/>
          <w:szCs w:val="40"/>
        </w:rPr>
        <w:t> </w:t>
      </w:r>
      <w:r w:rsidR="06022C23" w:rsidRPr="45439B87">
        <w:rPr>
          <w:rStyle w:val="eop"/>
          <w:rFonts w:ascii="Aptos Display" w:eastAsiaTheme="majorEastAsia" w:hAnsi="Aptos Display" w:cs="Segoe UI"/>
          <w:color w:val="002C54"/>
          <w:sz w:val="40"/>
          <w:szCs w:val="40"/>
        </w:rPr>
        <w:t>in Virginia</w:t>
      </w:r>
    </w:p>
    <w:p w14:paraId="30E4C657" w14:textId="753155E5" w:rsidR="007419CC" w:rsidRDefault="007419CC" w:rsidP="446D36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</w:pPr>
      <w:r w:rsidRPr="446D36BB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 xml:space="preserve">A Resource for </w:t>
      </w:r>
      <w:r w:rsidR="341ABDD9" w:rsidRPr="446D36BB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Families</w:t>
      </w:r>
    </w:p>
    <w:p w14:paraId="5399C7A1" w14:textId="77777777" w:rsidR="007419CC" w:rsidRDefault="007419CC" w:rsidP="007419C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8"/>
          <w:szCs w:val="8"/>
        </w:rPr>
        <w:t> </w:t>
      </w:r>
    </w:p>
    <w:p w14:paraId="4D8C4507" w14:textId="169BC56E" w:rsidR="00C14FA1" w:rsidRDefault="009C3216" w:rsidP="63F88CB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pict w14:anchorId="33E412F5">
          <v:rect id="_x0000_i1025" style="width:468pt;height:1.5pt" o:hralign="center" o:hrstd="t" o:hrnoshade="t" o:hr="t" fillcolor="#156082 [3204]" stroked="f"/>
        </w:pict>
      </w:r>
      <w:r w:rsidR="007419CC" w:rsidRPr="63F88CBD">
        <w:rPr>
          <w:rStyle w:val="eop"/>
          <w:rFonts w:ascii="Aptos" w:eastAsiaTheme="majorEastAsia" w:hAnsi="Aptos" w:cs="Segoe UI"/>
        </w:rPr>
        <w:t> </w:t>
      </w:r>
    </w:p>
    <w:p w14:paraId="7D061420" w14:textId="15451ABF" w:rsidR="003E6C1D" w:rsidRPr="003B584B" w:rsidRDefault="003B584B" w:rsidP="63F88CBD">
      <w:pPr>
        <w:pStyle w:val="paragraph"/>
        <w:spacing w:before="0" w:beforeAutospacing="0" w:after="120" w:afterAutospacing="0" w:line="22" w:lineRule="atLeast"/>
        <w:textAlignment w:val="baseline"/>
        <w:rPr>
          <w:rFonts w:ascii="Segoe UI" w:hAnsi="Segoe UI" w:cs="Segoe UI"/>
          <w:color w:val="002C54"/>
          <w:sz w:val="18"/>
          <w:szCs w:val="18"/>
        </w:rPr>
      </w:pPr>
      <w:r w:rsidRPr="63F88CBD">
        <w:rPr>
          <w:rStyle w:val="normaltextrun"/>
          <w:rFonts w:ascii="Aptos Display" w:eastAsiaTheme="majorEastAsia" w:hAnsi="Aptos Display" w:cs="Segoe UI"/>
          <w:color w:val="002C54"/>
          <w:sz w:val="32"/>
          <w:szCs w:val="32"/>
        </w:rPr>
        <w:t>Background</w:t>
      </w:r>
      <w:r w:rsidRPr="63F88CBD">
        <w:rPr>
          <w:rStyle w:val="eop"/>
          <w:rFonts w:ascii="Aptos Display" w:eastAsiaTheme="majorEastAsia" w:hAnsi="Aptos Display" w:cs="Segoe UI"/>
          <w:color w:val="002C54"/>
          <w:sz w:val="32"/>
          <w:szCs w:val="32"/>
        </w:rPr>
        <w:t> </w:t>
      </w:r>
    </w:p>
    <w:p w14:paraId="6C837EEF" w14:textId="2A00F480" w:rsidR="003D0A30" w:rsidRDefault="33D5A733" w:rsidP="467E8E59">
      <w:pPr>
        <w:spacing w:after="120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467E8E59">
        <w:rPr>
          <w:rStyle w:val="normaltextrun"/>
          <w:rFonts w:ascii="Aptos" w:eastAsiaTheme="majorEastAsia" w:hAnsi="Aptos" w:cs="Segoe UI"/>
          <w:sz w:val="24"/>
          <w:szCs w:val="24"/>
        </w:rPr>
        <w:t xml:space="preserve">In </w:t>
      </w:r>
      <w:r w:rsidR="03590398" w:rsidRPr="467E8E59">
        <w:rPr>
          <w:rStyle w:val="normaltextrun"/>
          <w:rFonts w:ascii="Aptos" w:eastAsiaTheme="majorEastAsia" w:hAnsi="Aptos" w:cs="Segoe UI"/>
          <w:sz w:val="24"/>
          <w:szCs w:val="24"/>
        </w:rPr>
        <w:t>2025, the</w:t>
      </w:r>
      <w:r w:rsidRPr="467E8E59">
        <w:rPr>
          <w:rStyle w:val="normaltextrun"/>
          <w:rFonts w:ascii="Aptos" w:eastAsiaTheme="majorEastAsia" w:hAnsi="Aptos" w:cs="Segoe UI"/>
          <w:sz w:val="24"/>
          <w:szCs w:val="24"/>
        </w:rPr>
        <w:t xml:space="preserve"> General Assembly passed </w:t>
      </w:r>
      <w:hyperlink r:id="rId9" w:history="1">
        <w:r w:rsidR="00321E54" w:rsidRPr="467E8E59">
          <w:rPr>
            <w:rStyle w:val="Hyperlink"/>
            <w:rFonts w:ascii="Aptos" w:eastAsiaTheme="majorEastAsia" w:hAnsi="Aptos" w:cs="Segoe UI"/>
            <w:kern w:val="0"/>
            <w:sz w:val="24"/>
            <w:szCs w:val="24"/>
            <w14:ligatures w14:val="none"/>
          </w:rPr>
          <w:t>HB2686</w:t>
        </w:r>
        <w:r w:rsidR="209B6A63" w:rsidRPr="467E8E59">
          <w:rPr>
            <w:rStyle w:val="Hyperlink"/>
            <w:rFonts w:ascii="Aptos" w:eastAsiaTheme="majorEastAsia" w:hAnsi="Aptos" w:cs="Segoe UI"/>
            <w:kern w:val="0"/>
            <w:sz w:val="24"/>
            <w:szCs w:val="24"/>
            <w14:ligatures w14:val="none"/>
          </w:rPr>
          <w:t>,</w:t>
        </w:r>
      </w:hyperlink>
      <w:r w:rsidR="209B6A63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which</w:t>
      </w:r>
      <w:r w:rsidR="00321E54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6E51A0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requires</w:t>
      </w:r>
      <w:r w:rsidR="00451C23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school </w:t>
      </w:r>
      <w:r w:rsidR="009CA037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boards to</w:t>
      </w:r>
      <w:r w:rsidR="2E03C95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set criteria for students in Grades 5, 6, 7, and 8 to enroll in </w:t>
      </w:r>
      <w:r w:rsidR="00283BA4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advanced and accelerated</w:t>
      </w:r>
      <w:r w:rsidR="4BCDEDF8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283BA4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mathematics </w:t>
      </w:r>
      <w:r w:rsidR="00CF59B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courses</w:t>
      </w:r>
      <w:r w:rsidR="02A4244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. </w:t>
      </w:r>
      <w:r w:rsidR="00B629AF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Students scoring in the</w:t>
      </w:r>
      <w:r w:rsidR="00B32F10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statewide</w:t>
      </w:r>
      <w:r w:rsidR="00B629AF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C706B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upper</w:t>
      </w:r>
      <w:r w:rsidR="08F44C6F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quartile</w:t>
      </w:r>
      <w:r w:rsidR="00CF59B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, or top 25</w:t>
      </w:r>
      <w:r w:rsidR="00CF59B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:vertAlign w:val="superscript"/>
          <w14:ligatures w14:val="none"/>
        </w:rPr>
        <w:t>th</w:t>
      </w:r>
      <w:r w:rsidR="00CF59B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percentile,</w:t>
      </w:r>
      <w:r w:rsidR="00B629AF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on</w:t>
      </w:r>
      <w:r w:rsidR="01737193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the</w:t>
      </w:r>
      <w:r w:rsidR="00B629AF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math</w:t>
      </w:r>
      <w:r w:rsidR="4FF01447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ematics</w:t>
      </w:r>
      <w:r w:rsidR="2A4DF96D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end of year </w:t>
      </w:r>
      <w:r w:rsidR="2A4DF96D" w:rsidRPr="467E8E59">
        <w:rPr>
          <w:rStyle w:val="normaltextrun"/>
          <w:rFonts w:ascii="Aptos" w:eastAsiaTheme="majorEastAsia" w:hAnsi="Aptos" w:cs="Segoe UI"/>
          <w:i/>
          <w:iCs/>
          <w:kern w:val="0"/>
          <w:sz w:val="24"/>
          <w:szCs w:val="24"/>
          <w14:ligatures w14:val="none"/>
        </w:rPr>
        <w:t>Standards of Learning</w:t>
      </w:r>
      <w:r w:rsidR="2A4DF96D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2E3B05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(SOL) </w:t>
      </w:r>
      <w:r w:rsidR="26DE6E72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assessment will</w:t>
      </w:r>
      <w:r w:rsidR="00B629AF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be automatically </w:t>
      </w:r>
      <w:r w:rsidR="00474A86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accelerated </w:t>
      </w:r>
      <w:r w:rsidR="41D9B19C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to an advanced mathematics course</w:t>
      </w:r>
      <w:r w:rsidR="00F03B0B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the following year</w:t>
      </w:r>
      <w:r w:rsidR="00410E9F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, if an appropriate course option is available</w:t>
      </w:r>
      <w:r w:rsidR="00F03B0B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. </w:t>
      </w:r>
      <w:r w:rsidR="00C706B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This is referred to in the legislation as automatic enrollment. </w:t>
      </w:r>
      <w:r w:rsidR="003030C0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Parents have the right to opt out of </w:t>
      </w:r>
      <w:r w:rsidR="0000233D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the automatic enrollment process. </w:t>
      </w:r>
    </w:p>
    <w:p w14:paraId="1BFF9025" w14:textId="5F9265DD" w:rsidR="00ED4692" w:rsidRDefault="00ED4692" w:rsidP="00ED4692">
      <w:p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In this context, </w:t>
      </w:r>
      <w:r w:rsidRPr="4962F070">
        <w:rPr>
          <w:rStyle w:val="normaltextrun"/>
          <w:rFonts w:ascii="Aptos" w:eastAsiaTheme="majorEastAsia" w:hAnsi="Aptos" w:cs="Segoe UI"/>
          <w:i/>
          <w:iCs/>
          <w:kern w:val="0"/>
          <w:sz w:val="24"/>
          <w:szCs w:val="24"/>
          <w14:ligatures w14:val="none"/>
        </w:rPr>
        <w:t>acceleration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refers to the opportunity to bypass one or more classes based on the student’s test scores and/or class performance, which </w:t>
      </w:r>
      <w:r w:rsidR="00F72393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allows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the student to work at a higher level of rigor and progress to more advanced mathematics courses.</w:t>
      </w:r>
      <w:r w:rsidR="00B17EE2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FA2AC2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Single subject acceleration is </w:t>
      </w:r>
      <w:r w:rsidR="00DC2E9C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a well</w:t>
      </w:r>
      <w:r w:rsidR="00FA2AC2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-researched strategy that ensures students </w:t>
      </w:r>
      <w:r w:rsidR="00A14B21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are </w:t>
      </w:r>
      <w:r w:rsidR="00F31B58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being challenged in the classroom. 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This document is intended to help you guide your student through options for mathematics course offerings in middle school and beyond.</w:t>
      </w:r>
    </w:p>
    <w:p w14:paraId="5FEB009D" w14:textId="059E0BBB" w:rsidR="00B279A9" w:rsidRDefault="1E4E87D8" w:rsidP="00B279A9">
      <w:pPr>
        <w:pStyle w:val="Heading2"/>
        <w:rPr>
          <w:rStyle w:val="normaltextrun"/>
        </w:rPr>
      </w:pPr>
      <w:r w:rsidRPr="06DD6342">
        <w:rPr>
          <w:rStyle w:val="normaltextrun"/>
        </w:rPr>
        <w:t>Common Accelerated Math Pathways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380"/>
        <w:gridCol w:w="2125"/>
        <w:gridCol w:w="2025"/>
        <w:gridCol w:w="2025"/>
        <w:gridCol w:w="1795"/>
      </w:tblGrid>
      <w:tr w:rsidR="06DD6342" w14:paraId="7A3EB901" w14:textId="77777777" w:rsidTr="00CBAAB3">
        <w:trPr>
          <w:trHeight w:val="3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8639F" w14:textId="12B0F767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Pathway Example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A16F7" w14:textId="63B9971A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Grade 5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B4FAB" w14:textId="1CA54E55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Grade 6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E1284" w14:textId="7D99B18A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Grade 7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0E145" w14:textId="69F4AB6E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Grade 8</w:t>
            </w:r>
          </w:p>
        </w:tc>
      </w:tr>
      <w:tr w:rsidR="06DD6342" w14:paraId="5DD57A24" w14:textId="77777777" w:rsidTr="00CBAAB3">
        <w:trPr>
          <w:trHeight w:val="3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5B762" w14:textId="0DB6658A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>Pathway 1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928F4" w14:textId="106DE9A1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E70CC" w14:textId="3EBE1FD1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All of 6 &amp; 7</w:t>
            </w:r>
          </w:p>
          <w:p w14:paraId="4C4A564E" w14:textId="048DCD8A" w:rsidR="06DD6342" w:rsidRDefault="06DD6342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 w:rsidR="00D041E9" w:rsidRPr="00D54BE8">
              <w:rPr>
                <w:rFonts w:ascii="Aptos" w:eastAsia="Aptos" w:hAnsi="Aptos" w:cs="Aptos"/>
                <w:sz w:val="14"/>
                <w:szCs w:val="14"/>
              </w:rPr>
              <w:t xml:space="preserve">Student </w:t>
            </w:r>
            <w:r w:rsidR="00FF1767" w:rsidRPr="00D54BE8">
              <w:rPr>
                <w:rFonts w:ascii="Aptos" w:eastAsia="Aptos" w:hAnsi="Aptos" w:cs="Aptos"/>
                <w:sz w:val="14"/>
                <w:szCs w:val="14"/>
              </w:rPr>
              <w:t xml:space="preserve">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>Grade 7 SOL)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16017" w14:textId="1601EF24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Algebra 1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6D7BA" w14:textId="78286C48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Geometry</w:t>
            </w:r>
          </w:p>
          <w:p w14:paraId="164BF2C7" w14:textId="53AD5676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 xml:space="preserve"> </w:t>
            </w:r>
          </w:p>
        </w:tc>
      </w:tr>
      <w:tr w:rsidR="06DD6342" w14:paraId="48228AE0" w14:textId="77777777" w:rsidTr="00CBAAB3">
        <w:trPr>
          <w:trHeight w:val="3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4A8D2" w14:textId="0A84A75B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>Pathway 2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BD1E8" w14:textId="0E6BBBD9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936F4" w14:textId="1F868EC9" w:rsidR="06DD6342" w:rsidRDefault="06DD6342" w:rsidP="06DD6342">
            <w:pPr>
              <w:jc w:val="center"/>
            </w:pPr>
            <w:r w:rsidRPr="00CBAAB3">
              <w:rPr>
                <w:rFonts w:ascii="Aptos" w:eastAsia="Aptos" w:hAnsi="Aptos" w:cs="Aptos"/>
                <w:b/>
                <w:bCs/>
              </w:rPr>
              <w:t>All of 6 &amp; half of 7</w:t>
            </w:r>
          </w:p>
          <w:p w14:paraId="42BA0473" w14:textId="5CB8E192" w:rsidR="06DD6342" w:rsidRDefault="06DD6342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 w:rsidR="00D54BE8">
              <w:rPr>
                <w:rFonts w:ascii="Aptos" w:eastAsia="Aptos" w:hAnsi="Aptos" w:cs="Aptos"/>
                <w:sz w:val="14"/>
                <w:szCs w:val="14"/>
              </w:rPr>
              <w:t xml:space="preserve">Student 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>Grade 6 SOL)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64A1C" w14:textId="43108690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Half of 7 &amp; all of 8</w:t>
            </w:r>
          </w:p>
          <w:p w14:paraId="13C4DD02" w14:textId="573B32E6" w:rsidR="06DD6342" w:rsidRDefault="00D54BE8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>
              <w:rPr>
                <w:rFonts w:ascii="Aptos" w:eastAsia="Aptos" w:hAnsi="Aptos" w:cs="Aptos"/>
                <w:sz w:val="14"/>
                <w:szCs w:val="14"/>
              </w:rPr>
              <w:t xml:space="preserve">Student 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>Grade 8 SOL)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4592B" w14:textId="281136E4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Algebra 1</w:t>
            </w:r>
          </w:p>
        </w:tc>
      </w:tr>
      <w:tr w:rsidR="06DD6342" w14:paraId="432230AE" w14:textId="77777777" w:rsidTr="00CBAAB3">
        <w:trPr>
          <w:trHeight w:val="3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0FBC1" w14:textId="149E299D" w:rsidR="06DD6342" w:rsidRDefault="06DD6342" w:rsidP="06DD6342">
            <w:pPr>
              <w:tabs>
                <w:tab w:val="left" w:pos="1365"/>
              </w:tabs>
              <w:jc w:val="center"/>
            </w:pPr>
            <w:r w:rsidRPr="06DD6342">
              <w:rPr>
                <w:rFonts w:ascii="Aptos" w:eastAsia="Aptos" w:hAnsi="Aptos" w:cs="Aptos"/>
              </w:rPr>
              <w:t>Pathway 3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60B1E" w14:textId="39AC7A10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F10A3" w14:textId="6DB0C0D1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All of 6, 7, &amp; 8</w:t>
            </w:r>
          </w:p>
          <w:p w14:paraId="506C0A99" w14:textId="0E691821" w:rsidR="06DD6342" w:rsidRDefault="06DD6342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 w:rsidR="00D54BE8">
              <w:rPr>
                <w:rFonts w:ascii="Aptos" w:eastAsia="Aptos" w:hAnsi="Aptos" w:cs="Aptos"/>
                <w:sz w:val="14"/>
                <w:szCs w:val="14"/>
              </w:rPr>
              <w:t xml:space="preserve">Student 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 xml:space="preserve">Grade </w:t>
            </w:r>
            <w:r w:rsidR="009C3216">
              <w:rPr>
                <w:rFonts w:ascii="Aptos" w:eastAsia="Aptos" w:hAnsi="Aptos" w:cs="Aptos"/>
                <w:sz w:val="14"/>
                <w:szCs w:val="14"/>
              </w:rPr>
              <w:t>8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 xml:space="preserve"> SOL)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DCA1E" w14:textId="019A41EF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Algebra 1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94F950" w14:textId="53DE02F9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Geometry</w:t>
            </w:r>
          </w:p>
          <w:p w14:paraId="0A1C4C5F" w14:textId="4DB762F1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 xml:space="preserve"> </w:t>
            </w:r>
          </w:p>
        </w:tc>
      </w:tr>
      <w:tr w:rsidR="06DD6342" w14:paraId="76DFF1FB" w14:textId="77777777" w:rsidTr="00CBAAB3">
        <w:trPr>
          <w:trHeight w:val="3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E4AC1" w14:textId="1EFD587C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>Pathway 4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78D56" w14:textId="1AA03DD1" w:rsidR="06DD6342" w:rsidRDefault="06DD6342" w:rsidP="06DD6342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00CBAAB3">
              <w:rPr>
                <w:rFonts w:ascii="Aptos" w:eastAsia="Aptos" w:hAnsi="Aptos" w:cs="Aptos"/>
                <w:b/>
                <w:bCs/>
              </w:rPr>
              <w:t>All of 5 &amp; half of 6</w:t>
            </w:r>
          </w:p>
          <w:p w14:paraId="45C77116" w14:textId="060A803C" w:rsidR="06DD6342" w:rsidRDefault="06DD6342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 w:rsidR="00D54BE8">
              <w:rPr>
                <w:rFonts w:ascii="Aptos" w:eastAsia="Aptos" w:hAnsi="Aptos" w:cs="Aptos"/>
                <w:sz w:val="14"/>
                <w:szCs w:val="14"/>
              </w:rPr>
              <w:t xml:space="preserve">Student 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>Grade 5 SOL)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06FC1" w14:textId="7AF356DC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Half of 6 &amp; all of 7</w:t>
            </w:r>
          </w:p>
          <w:p w14:paraId="751AD22B" w14:textId="5C4083D3" w:rsidR="06DD6342" w:rsidRDefault="06DD6342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 w:rsidR="00D54BE8">
              <w:rPr>
                <w:rFonts w:ascii="Aptos" w:eastAsia="Aptos" w:hAnsi="Aptos" w:cs="Aptos"/>
                <w:sz w:val="14"/>
                <w:szCs w:val="14"/>
              </w:rPr>
              <w:t xml:space="preserve">Student 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>Grade 7 SOL)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600D4" w14:textId="60520FA0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Algebra 1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12281" w14:textId="7FD4A8CD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Geometry</w:t>
            </w:r>
          </w:p>
          <w:p w14:paraId="09D1E64A" w14:textId="6932D9BF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 xml:space="preserve"> </w:t>
            </w:r>
          </w:p>
        </w:tc>
      </w:tr>
      <w:tr w:rsidR="06DD6342" w14:paraId="0A424C80" w14:textId="77777777" w:rsidTr="00CBAAB3">
        <w:trPr>
          <w:trHeight w:val="3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64573" w14:textId="60199ED0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>Pathway 5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27809" w14:textId="478F63C7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EC58B" w14:textId="6D18A547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All of 6 &amp; 7</w:t>
            </w:r>
          </w:p>
          <w:p w14:paraId="006A066C" w14:textId="04A928EE" w:rsidR="06DD6342" w:rsidRDefault="00D54BE8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>
              <w:rPr>
                <w:rFonts w:ascii="Aptos" w:eastAsia="Aptos" w:hAnsi="Aptos" w:cs="Aptos"/>
                <w:sz w:val="14"/>
                <w:szCs w:val="14"/>
              </w:rPr>
              <w:t xml:space="preserve">Student 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>Grade 7 SOL)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2727D" w14:textId="5B6C33C8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All of 7 &amp; 8</w:t>
            </w:r>
          </w:p>
          <w:p w14:paraId="7EF4230B" w14:textId="5FD114ED" w:rsidR="06DD6342" w:rsidRDefault="00D54BE8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>
              <w:rPr>
                <w:rFonts w:ascii="Aptos" w:eastAsia="Aptos" w:hAnsi="Aptos" w:cs="Aptos"/>
                <w:sz w:val="14"/>
                <w:szCs w:val="14"/>
              </w:rPr>
              <w:t xml:space="preserve">Student 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 xml:space="preserve">Grade </w:t>
            </w:r>
            <w:r w:rsidR="009C3216">
              <w:rPr>
                <w:rFonts w:ascii="Aptos" w:eastAsia="Aptos" w:hAnsi="Aptos" w:cs="Aptos"/>
                <w:sz w:val="14"/>
                <w:szCs w:val="14"/>
              </w:rPr>
              <w:t>8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 xml:space="preserve"> SOL)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5833B" w14:textId="6EE977F8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Algebra 1</w:t>
            </w:r>
          </w:p>
        </w:tc>
      </w:tr>
      <w:tr w:rsidR="06DD6342" w14:paraId="24AAE1B1" w14:textId="77777777" w:rsidTr="00CBAAB3">
        <w:trPr>
          <w:trHeight w:val="3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D8EE5" w14:textId="5F8A1F3B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</w:rPr>
              <w:t>Pathway 6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63FB5" w14:textId="02650A8F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All of 5 &amp; 6</w:t>
            </w:r>
          </w:p>
          <w:p w14:paraId="261C3EF1" w14:textId="5DBE9F3C" w:rsidR="06DD6342" w:rsidRDefault="00D54BE8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>
              <w:rPr>
                <w:rFonts w:ascii="Aptos" w:eastAsia="Aptos" w:hAnsi="Aptos" w:cs="Aptos"/>
                <w:sz w:val="14"/>
                <w:szCs w:val="14"/>
              </w:rPr>
              <w:t xml:space="preserve">Student 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>Grade 6 SOL)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166D9" w14:textId="035766CB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All of 7 &amp; 8</w:t>
            </w:r>
          </w:p>
          <w:p w14:paraId="0108E4EE" w14:textId="07A2C686" w:rsidR="06DD6342" w:rsidRDefault="06DD6342" w:rsidP="06DD6342">
            <w:pPr>
              <w:jc w:val="center"/>
            </w:pPr>
            <w:r w:rsidRPr="00D54BE8">
              <w:rPr>
                <w:rFonts w:ascii="Aptos" w:eastAsia="Aptos" w:hAnsi="Aptos" w:cs="Aptos"/>
                <w:sz w:val="14"/>
                <w:szCs w:val="14"/>
              </w:rPr>
              <w:t>(</w:t>
            </w:r>
            <w:r w:rsidR="00D54BE8">
              <w:rPr>
                <w:rFonts w:ascii="Aptos" w:eastAsia="Aptos" w:hAnsi="Aptos" w:cs="Aptos"/>
                <w:sz w:val="14"/>
                <w:szCs w:val="14"/>
              </w:rPr>
              <w:t xml:space="preserve">Student takes </w:t>
            </w:r>
            <w:r w:rsidRPr="00D54BE8">
              <w:rPr>
                <w:rFonts w:ascii="Aptos" w:eastAsia="Aptos" w:hAnsi="Aptos" w:cs="Aptos"/>
                <w:sz w:val="14"/>
                <w:szCs w:val="14"/>
              </w:rPr>
              <w:t>Grade 8 SOL)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A028F" w14:textId="4B41D99E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Algebra 1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AFE35" w14:textId="7888E628" w:rsidR="06DD6342" w:rsidRDefault="06DD6342" w:rsidP="06DD6342">
            <w:pPr>
              <w:jc w:val="center"/>
            </w:pPr>
            <w:r w:rsidRPr="06DD6342">
              <w:rPr>
                <w:rFonts w:ascii="Aptos" w:eastAsia="Aptos" w:hAnsi="Aptos" w:cs="Aptos"/>
                <w:b/>
                <w:bCs/>
              </w:rPr>
              <w:t>Geometry</w:t>
            </w:r>
          </w:p>
          <w:p w14:paraId="14499055" w14:textId="76AAD918" w:rsidR="06DD6342" w:rsidRDefault="06DD6342" w:rsidP="06DD6342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6B402DE4" w14:textId="60A37AE7" w:rsidR="00472B9E" w:rsidRPr="00472B9E" w:rsidRDefault="00472B9E" w:rsidP="06DD6342"/>
    <w:p w14:paraId="5ABC2780" w14:textId="6EF1DC0E" w:rsidR="003E6C1D" w:rsidRDefault="001F76F8" w:rsidP="467E8E59">
      <w:p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Many </w:t>
      </w:r>
      <w:r w:rsidR="00B32722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school </w:t>
      </w:r>
      <w:r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divisions already have accelerated math pathways available to students. </w:t>
      </w:r>
      <w:r w:rsidR="00E54874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In practice, </w:t>
      </w:r>
      <w:r w:rsidR="003D0A30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middle school math acceleration </w:t>
      </w:r>
      <w:r w:rsidR="00410E9F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would</w:t>
      </w:r>
      <w:r w:rsidR="00E54874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typically involve the student </w:t>
      </w:r>
      <w:r w:rsidR="0EFA5C6B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combining</w:t>
      </w:r>
      <w:r w:rsidR="00E54874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C840A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one or more levels of math coursework to begin Algebra I </w:t>
      </w:r>
      <w:r w:rsidR="00F64DB0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at an earlier grade</w:t>
      </w:r>
      <w:r w:rsidR="00C840A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.</w:t>
      </w:r>
      <w:r w:rsidR="15017009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Algebra I, Geometry, and Algebra II are high school credit courses that are commonly offered in middle schools.</w:t>
      </w:r>
      <w:r w:rsidR="00C840A1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This </w:t>
      </w:r>
      <w:r w:rsidR="3B15409A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can be beneficial by expanding opportunities for higher level courses in high school, such as Calculus.</w:t>
      </w:r>
      <w:r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3C2A0D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Registrati</w:t>
      </w:r>
      <w:r w:rsidR="29D80E32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on</w:t>
      </w:r>
      <w:r w:rsidR="003C2A0D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for these courses would </w:t>
      </w:r>
      <w:r w:rsidR="00304D4E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also be available for families that requested placement, </w:t>
      </w:r>
      <w:r w:rsidR="6CD8730A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if</w:t>
      </w:r>
      <w:r w:rsidR="00304D4E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the child demonstrated appropriate skill and </w:t>
      </w:r>
      <w:r w:rsidR="00304D4E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lastRenderedPageBreak/>
        <w:t>preparation</w:t>
      </w:r>
      <w:r w:rsidR="1010CAF5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through criteria set by the school division</w:t>
      </w:r>
      <w:r w:rsidR="00304D4E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, </w:t>
      </w:r>
      <w:r w:rsidR="00975739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even if</w:t>
      </w:r>
      <w:r w:rsidR="00304D4E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730300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they were not automatic</w:t>
      </w:r>
      <w:r w:rsidR="00975739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ally</w:t>
      </w:r>
      <w:r w:rsidR="00730300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enrolled based on SOL scores.</w:t>
      </w:r>
      <w:r w:rsidR="24E5540F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</w:p>
    <w:p w14:paraId="12E56C0C" w14:textId="2D0B09EF" w:rsidR="000E2994" w:rsidRDefault="00DC436A" w:rsidP="63F88CBD">
      <w:pPr>
        <w:spacing w:after="120" w:line="22" w:lineRule="atLeast"/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</w:pPr>
      <w:r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>How do I know if my child is ready for</w:t>
      </w:r>
      <w:r w:rsidR="637AE2D3"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 xml:space="preserve"> an</w:t>
      </w:r>
      <w:r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 xml:space="preserve"> </w:t>
      </w:r>
      <w:r w:rsidR="00FB6FE6"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>A</w:t>
      </w:r>
      <w:r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 xml:space="preserve">ccelerated </w:t>
      </w:r>
      <w:r w:rsidR="00FB6FE6"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>M</w:t>
      </w:r>
      <w:r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 xml:space="preserve">ath </w:t>
      </w:r>
      <w:r w:rsidR="00FB6FE6"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>P</w:t>
      </w:r>
      <w:r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>athway?</w:t>
      </w:r>
    </w:p>
    <w:p w14:paraId="20282B07" w14:textId="172305E6" w:rsidR="00DC436A" w:rsidRPr="000E2994" w:rsidRDefault="000E2994" w:rsidP="63F88CBD">
      <w:pPr>
        <w:spacing w:after="120" w:line="22" w:lineRule="atLeast"/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</w:pPr>
      <w:r w:rsidRPr="000E2994">
        <w:t>S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tudents will be automatically registered in accelerated mathematics courses based on prior year test results. </w:t>
      </w:r>
      <w:r w:rsidR="526FCE61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W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hen considering whether to request placement in a higher math course</w:t>
      </w:r>
      <w:r w:rsidR="75357E5B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, the following criteria may be used by your child’s school division to determine an appropriate </w:t>
      </w:r>
      <w:r w:rsidR="00E304D4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class </w:t>
      </w:r>
      <w:r w:rsidR="75357E5B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match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:</w:t>
      </w:r>
    </w:p>
    <w:p w14:paraId="3071CF6A" w14:textId="731480F6" w:rsidR="003E6C1D" w:rsidRPr="00DC306E" w:rsidRDefault="003E6C1D" w:rsidP="63F88CBD">
      <w:pPr>
        <w:pStyle w:val="ListParagraph"/>
        <w:numPr>
          <w:ilvl w:val="0"/>
          <w:numId w:val="2"/>
        </w:numPr>
        <w:spacing w:after="120" w:line="22" w:lineRule="atLeast"/>
        <w:ind w:left="900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High scores on national</w:t>
      </w:r>
      <w:r w:rsidR="008304B2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tests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(CogAT, NNAT, Iowa, and 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MAP</w:t>
      </w:r>
      <w:r w:rsidR="00F149A4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Growth </w:t>
      </w:r>
      <w:r w:rsidR="5A1A087C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Assessment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) and 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Virginia </w:t>
      </w:r>
      <w:proofErr w:type="gramStart"/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SOLs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;</w:t>
      </w:r>
      <w:proofErr w:type="gramEnd"/>
    </w:p>
    <w:p w14:paraId="4334834A" w14:textId="75F702B2" w:rsidR="00DC436A" w:rsidRPr="00DC306E" w:rsidRDefault="00DC436A" w:rsidP="63F88CBD">
      <w:pPr>
        <w:pStyle w:val="ListParagraph"/>
        <w:numPr>
          <w:ilvl w:val="0"/>
          <w:numId w:val="2"/>
        </w:numPr>
        <w:spacing w:after="120" w:line="22" w:lineRule="atLeast"/>
        <w:ind w:left="900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Classroom performance and </w:t>
      </w:r>
      <w:proofErr w:type="gramStart"/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grades;</w:t>
      </w:r>
      <w:proofErr w:type="gramEnd"/>
    </w:p>
    <w:p w14:paraId="44380E0B" w14:textId="202F6465" w:rsidR="00DC436A" w:rsidRPr="00DC306E" w:rsidRDefault="00DC436A" w:rsidP="63F88CBD">
      <w:pPr>
        <w:pStyle w:val="ListParagraph"/>
        <w:numPr>
          <w:ilvl w:val="0"/>
          <w:numId w:val="2"/>
        </w:numPr>
        <w:spacing w:after="120" w:line="22" w:lineRule="atLeast"/>
        <w:ind w:left="900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Feedback from student’s teacher about aptitude and ability </w:t>
      </w:r>
      <w:proofErr w:type="gramStart"/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level;</w:t>
      </w:r>
      <w:proofErr w:type="gramEnd"/>
    </w:p>
    <w:p w14:paraId="625929EA" w14:textId="0BB22419" w:rsidR="003E6C1D" w:rsidRPr="00DC306E" w:rsidRDefault="69576BF8" w:rsidP="63F88CBD">
      <w:pPr>
        <w:pStyle w:val="ListParagraph"/>
        <w:numPr>
          <w:ilvl w:val="0"/>
          <w:numId w:val="2"/>
        </w:numPr>
        <w:spacing w:after="120" w:line="22" w:lineRule="atLeast"/>
        <w:ind w:left="900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An observation or performance task that </w:t>
      </w:r>
      <w:r w:rsidR="730F95AE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is 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designed to elicit a q</w:t>
      </w:r>
      <w:r w:rsidR="003E6C1D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uick grasp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of abstract concepts</w:t>
      </w:r>
      <w:r w:rsidR="1ABB5B03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and/or s</w:t>
      </w:r>
      <w:r w:rsidR="00DC436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trong logical reasoning and problem-solving skills</w:t>
      </w:r>
    </w:p>
    <w:p w14:paraId="466D6C27" w14:textId="1260F063" w:rsidR="46280856" w:rsidRDefault="46280856" w:rsidP="070F13D6">
      <w:pPr>
        <w:pStyle w:val="ListParagraph"/>
        <w:numPr>
          <w:ilvl w:val="0"/>
          <w:numId w:val="2"/>
        </w:numPr>
        <w:spacing w:after="120" w:line="22" w:lineRule="atLeast"/>
        <w:ind w:left="900"/>
        <w:rPr>
          <w:rStyle w:val="normaltextrun"/>
          <w:rFonts w:ascii="Aptos" w:eastAsiaTheme="majorEastAsia" w:hAnsi="Aptos" w:cs="Segoe UI"/>
          <w:sz w:val="24"/>
          <w:szCs w:val="24"/>
        </w:rPr>
      </w:pPr>
      <w:r w:rsidRPr="070F13D6">
        <w:rPr>
          <w:rStyle w:val="normaltextrun"/>
          <w:rFonts w:ascii="Aptos" w:eastAsiaTheme="majorEastAsia" w:hAnsi="Aptos" w:cs="Segoe UI"/>
          <w:sz w:val="24"/>
          <w:szCs w:val="24"/>
        </w:rPr>
        <w:t>Feedback from the family about math interest in the home setting</w:t>
      </w:r>
    </w:p>
    <w:p w14:paraId="1B691DB0" w14:textId="2D4FEBDA" w:rsidR="00DC436A" w:rsidRPr="00FB6FE6" w:rsidRDefault="00DC436A" w:rsidP="63F88CBD">
      <w:pPr>
        <w:spacing w:after="120" w:line="22" w:lineRule="atLeast"/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</w:pPr>
      <w:r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>Who should I talk to for information</w:t>
      </w:r>
      <w:r w:rsidR="009B20D5"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 xml:space="preserve"> at </w:t>
      </w:r>
      <w:r w:rsidR="00703DEA"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>my child’s school or division</w:t>
      </w:r>
      <w:r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>?</w:t>
      </w:r>
    </w:p>
    <w:p w14:paraId="0A7FB991" w14:textId="463A1191" w:rsidR="00DC436A" w:rsidRPr="00DC306E" w:rsidRDefault="00DC436A" w:rsidP="63F88CBD">
      <w:p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If you are interested in gathering information </w:t>
      </w:r>
      <w:r w:rsidR="00CC7F13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about your child’s </w:t>
      </w:r>
      <w:r w:rsidR="00536B0B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readiness for these courses 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or seeking additional information about math pathways available at your child’s school, it</w:t>
      </w:r>
      <w:r w:rsidR="2C75FD25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may be helpful to reach out to the following division staff:</w:t>
      </w:r>
    </w:p>
    <w:p w14:paraId="0760A392" w14:textId="1EF3F627" w:rsidR="007032FD" w:rsidRPr="00DC306E" w:rsidRDefault="00DC436A" w:rsidP="63F88CBD">
      <w:pPr>
        <w:pStyle w:val="ListParagraph"/>
        <w:numPr>
          <w:ilvl w:val="0"/>
          <w:numId w:val="2"/>
        </w:numPr>
        <w:spacing w:after="120" w:line="22" w:lineRule="atLeast"/>
        <w:ind w:left="900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:u w:val="single"/>
          <w14:ligatures w14:val="none"/>
        </w:rPr>
        <w:t>Your child’s teacher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will be able to provide the </w:t>
      </w:r>
      <w:r w:rsidR="007032FD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most up to date</w:t>
      </w:r>
      <w:r w:rsidR="00E168B8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, specific</w:t>
      </w:r>
      <w:r w:rsidR="007032FD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understanding of your child’s math progress.</w:t>
      </w:r>
    </w:p>
    <w:p w14:paraId="559E3B18" w14:textId="6FA31518" w:rsidR="00DC436A" w:rsidRPr="00DC306E" w:rsidRDefault="007032FD" w:rsidP="63F88CBD">
      <w:pPr>
        <w:pStyle w:val="ListParagraph"/>
        <w:numPr>
          <w:ilvl w:val="0"/>
          <w:numId w:val="2"/>
        </w:numPr>
        <w:spacing w:after="120" w:line="22" w:lineRule="atLeast"/>
        <w:ind w:left="900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:u w:val="single"/>
          <w14:ligatures w14:val="none"/>
        </w:rPr>
        <w:t>Your child’s school counselor</w:t>
      </w:r>
      <w:r w:rsidR="00A919E2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will be able to assist with providing test scores and can explain the course offerings and math pathways available at the school.</w:t>
      </w:r>
    </w:p>
    <w:p w14:paraId="1328E5AC" w14:textId="1EDC4701" w:rsidR="007032FD" w:rsidRPr="00DC306E" w:rsidRDefault="007032FD" w:rsidP="63F88CBD">
      <w:pPr>
        <w:pStyle w:val="ListParagraph"/>
        <w:numPr>
          <w:ilvl w:val="0"/>
          <w:numId w:val="2"/>
        </w:numPr>
        <w:spacing w:after="120" w:line="22" w:lineRule="atLeast"/>
        <w:ind w:left="900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:u w:val="single"/>
          <w14:ligatures w14:val="none"/>
        </w:rPr>
        <w:t>Your school division’s mathematics coordinator/supervisor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7E1CA7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will be able to explain information about curriculum options and pathways, including prospectiv</w:t>
      </w:r>
      <w:r w:rsidR="35A68DC8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e </w:t>
      </w:r>
      <w:r w:rsidR="007E1CA7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advancement across courses in subsequent grade levels.</w:t>
      </w:r>
    </w:p>
    <w:p w14:paraId="773CDE5A" w14:textId="5A885C20" w:rsidR="007032FD" w:rsidRDefault="007032FD" w:rsidP="63F88CBD">
      <w:pPr>
        <w:pStyle w:val="ListParagraph"/>
        <w:numPr>
          <w:ilvl w:val="0"/>
          <w:numId w:val="2"/>
        </w:numPr>
        <w:spacing w:after="120" w:line="22" w:lineRule="atLeast"/>
        <w:ind w:left="900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070F13D6">
        <w:rPr>
          <w:rStyle w:val="normaltextrun"/>
          <w:rFonts w:ascii="Aptos" w:eastAsiaTheme="majorEastAsia" w:hAnsi="Aptos" w:cs="Segoe UI"/>
          <w:kern w:val="0"/>
          <w:sz w:val="24"/>
          <w:szCs w:val="24"/>
          <w:u w:val="single"/>
          <w14:ligatures w14:val="none"/>
        </w:rPr>
        <w:t>Your school division’s gifted education coordinator/supervisor</w:t>
      </w:r>
      <w:r w:rsidR="00A919E2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</w:t>
      </w:r>
      <w:r w:rsidR="007E1CA7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will be able to help you understand how giftedness and advanced academic programs relate to these math pathways. </w:t>
      </w:r>
    </w:p>
    <w:p w14:paraId="3419B47F" w14:textId="13C26DF5" w:rsidR="00777677" w:rsidRDefault="00777677" w:rsidP="63F88CBD">
      <w:pPr>
        <w:spacing w:after="120" w:line="22" w:lineRule="atLeast"/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</w:pPr>
      <w:r w:rsidRPr="63F88CBD">
        <w:rPr>
          <w:rStyle w:val="normaltextrun"/>
          <w:rFonts w:ascii="Aptos Display" w:eastAsiaTheme="majorEastAsia" w:hAnsi="Aptos Display" w:cs="Segoe UI"/>
          <w:color w:val="002C54"/>
          <w:kern w:val="0"/>
          <w:sz w:val="32"/>
          <w:szCs w:val="32"/>
          <w14:ligatures w14:val="none"/>
        </w:rPr>
        <w:t>What questions should I ask?</w:t>
      </w:r>
    </w:p>
    <w:p w14:paraId="45DCDFBD" w14:textId="4CDF785F" w:rsidR="007032FD" w:rsidRPr="00DC306E" w:rsidRDefault="00782F67" w:rsidP="63F88CBD">
      <w:p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These may be some good conversation starters or questions to consider asking:</w:t>
      </w:r>
    </w:p>
    <w:p w14:paraId="5DF552AE" w14:textId="233BA328" w:rsidR="00782F67" w:rsidRDefault="00947D9C" w:rsidP="63F88CBD">
      <w:pPr>
        <w:pStyle w:val="ListParagraph"/>
        <w:numPr>
          <w:ilvl w:val="0"/>
          <w:numId w:val="4"/>
        </w:num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What are the different options </w:t>
      </w:r>
      <w:r w:rsidR="007E27EE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for accelerated math pathways that the school/school division currently provides? </w:t>
      </w:r>
    </w:p>
    <w:p w14:paraId="1BD50FDC" w14:textId="4953BA2D" w:rsidR="001557F9" w:rsidRDefault="001557F9" w:rsidP="63F88CBD">
      <w:pPr>
        <w:pStyle w:val="ListParagraph"/>
        <w:numPr>
          <w:ilvl w:val="0"/>
          <w:numId w:val="4"/>
        </w:num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What are the criteria </w:t>
      </w:r>
      <w:r w:rsidR="00294D61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to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qualify for </w:t>
      </w:r>
      <w:r w:rsidR="00CE48EE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automatic 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acceleration </w:t>
      </w:r>
      <w:r w:rsidR="00294D61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in mathematics and </w:t>
      </w:r>
      <w:r w:rsidR="00CE48EE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does my child meet </w:t>
      </w:r>
      <w:r w:rsidR="00D0C1CF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that criterion</w:t>
      </w:r>
      <w:r w:rsidR="00CE48EE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?</w:t>
      </w:r>
    </w:p>
    <w:p w14:paraId="1BAEB811" w14:textId="6F68F5A1" w:rsidR="00CE48EE" w:rsidRDefault="01A3B17D" w:rsidP="4B7A9423">
      <w:pPr>
        <w:pStyle w:val="ListParagraph"/>
        <w:numPr>
          <w:ilvl w:val="0"/>
          <w:numId w:val="4"/>
        </w:num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4B7A9423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What are the </w:t>
      </w:r>
      <w:r w:rsidR="192D2636" w:rsidRPr="4B7A9423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op</w:t>
      </w:r>
      <w:r w:rsidR="21051BFA" w:rsidRPr="4B7A9423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tions if the pathway doesn’t seem like the correct fit for my child? </w:t>
      </w:r>
    </w:p>
    <w:p w14:paraId="134E7E9A" w14:textId="2EE0560B" w:rsidR="001E277B" w:rsidRDefault="001E277B" w:rsidP="63F88CBD">
      <w:pPr>
        <w:pStyle w:val="ListParagraph"/>
        <w:numPr>
          <w:ilvl w:val="0"/>
          <w:numId w:val="4"/>
        </w:num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What information and data </w:t>
      </w:r>
      <w:r w:rsidR="07DE309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are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available</w:t>
      </w:r>
      <w:r w:rsidR="00CF023F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about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my child to help make decisions about </w:t>
      </w:r>
      <w:r w:rsidR="00906F5A"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appropriate </w:t>
      </w:r>
      <w:r w:rsidRPr="63F88CBD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course registration?</w:t>
      </w:r>
    </w:p>
    <w:p w14:paraId="250892B0" w14:textId="552A0828" w:rsidR="00906F5A" w:rsidRDefault="00906F5A" w:rsidP="467E8E59">
      <w:pPr>
        <w:pStyle w:val="ListParagraph"/>
        <w:numPr>
          <w:ilvl w:val="0"/>
          <w:numId w:val="4"/>
        </w:num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What impact will this math pathway have on future options </w:t>
      </w:r>
      <w:r w:rsidR="0083348E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and opportunities </w:t>
      </w:r>
      <w:r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when my child is in high school</w:t>
      </w:r>
      <w:r w:rsidR="0083348E"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 xml:space="preserve"> and beyond?</w:t>
      </w:r>
    </w:p>
    <w:p w14:paraId="47AEB054" w14:textId="6D0C3933" w:rsidR="49F40ED8" w:rsidRDefault="49F40ED8" w:rsidP="467E8E59">
      <w:pPr>
        <w:pStyle w:val="ListParagraph"/>
        <w:numPr>
          <w:ilvl w:val="0"/>
          <w:numId w:val="4"/>
        </w:numPr>
        <w:spacing w:after="120" w:line="22" w:lineRule="atLeast"/>
        <w:rPr>
          <w:rStyle w:val="normaltextrun"/>
          <w:rFonts w:ascii="Aptos" w:eastAsiaTheme="majorEastAsia" w:hAnsi="Aptos" w:cs="Segoe UI"/>
          <w:sz w:val="24"/>
          <w:szCs w:val="24"/>
        </w:rPr>
      </w:pPr>
      <w:r w:rsidRPr="467E8E59">
        <w:rPr>
          <w:rStyle w:val="normaltextrun"/>
          <w:rFonts w:ascii="Aptos" w:eastAsiaTheme="majorEastAsia" w:hAnsi="Aptos" w:cs="Segoe UI"/>
          <w:sz w:val="24"/>
          <w:szCs w:val="24"/>
        </w:rPr>
        <w:lastRenderedPageBreak/>
        <w:t>What if my child receives a bad grade in a high school credit course in middle school? Is it possible to have it expunged?</w:t>
      </w:r>
    </w:p>
    <w:p w14:paraId="243E2D03" w14:textId="5EFE921C" w:rsidR="007032FD" w:rsidRPr="003E2EE8" w:rsidRDefault="7FB34AD4" w:rsidP="467E8E59">
      <w:pPr>
        <w:pStyle w:val="ListParagraph"/>
        <w:numPr>
          <w:ilvl w:val="0"/>
          <w:numId w:val="4"/>
        </w:numPr>
        <w:spacing w:after="120" w:line="22" w:lineRule="atLeast"/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</w:pPr>
      <w:r w:rsidRPr="467E8E59">
        <w:rPr>
          <w:rStyle w:val="normaltextrun"/>
          <w:rFonts w:ascii="Aptos" w:eastAsiaTheme="majorEastAsia" w:hAnsi="Aptos" w:cs="Segoe UI"/>
          <w:kern w:val="0"/>
          <w:sz w:val="24"/>
          <w:szCs w:val="24"/>
          <w14:ligatures w14:val="none"/>
        </w:rPr>
        <w:t>What else about this process do you think I should be aware of?</w:t>
      </w:r>
    </w:p>
    <w:sectPr w:rsidR="007032FD" w:rsidRPr="003E2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3F02"/>
    <w:multiLevelType w:val="hybridMultilevel"/>
    <w:tmpl w:val="874ABAF4"/>
    <w:lvl w:ilvl="0" w:tplc="137852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1665"/>
    <w:multiLevelType w:val="hybridMultilevel"/>
    <w:tmpl w:val="9BD4AF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36339"/>
    <w:multiLevelType w:val="hybridMultilevel"/>
    <w:tmpl w:val="76760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1C9A"/>
    <w:multiLevelType w:val="hybridMultilevel"/>
    <w:tmpl w:val="FB1E3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43164">
    <w:abstractNumId w:val="0"/>
  </w:num>
  <w:num w:numId="2" w16cid:durableId="2006278876">
    <w:abstractNumId w:val="2"/>
  </w:num>
  <w:num w:numId="3" w16cid:durableId="1245918636">
    <w:abstractNumId w:val="1"/>
  </w:num>
  <w:num w:numId="4" w16cid:durableId="1337076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1D"/>
    <w:rsid w:val="0000233D"/>
    <w:rsid w:val="00003F89"/>
    <w:rsid w:val="00031B50"/>
    <w:rsid w:val="00035F99"/>
    <w:rsid w:val="00066335"/>
    <w:rsid w:val="00066926"/>
    <w:rsid w:val="00075937"/>
    <w:rsid w:val="00081452"/>
    <w:rsid w:val="000E2994"/>
    <w:rsid w:val="000E36C5"/>
    <w:rsid w:val="000E4FA8"/>
    <w:rsid w:val="000F4B46"/>
    <w:rsid w:val="00150A46"/>
    <w:rsid w:val="001557F9"/>
    <w:rsid w:val="00162E78"/>
    <w:rsid w:val="0018523C"/>
    <w:rsid w:val="00190337"/>
    <w:rsid w:val="00190D41"/>
    <w:rsid w:val="001A15BD"/>
    <w:rsid w:val="001C216D"/>
    <w:rsid w:val="001E277B"/>
    <w:rsid w:val="001F76F8"/>
    <w:rsid w:val="00234730"/>
    <w:rsid w:val="0023767B"/>
    <w:rsid w:val="002401B7"/>
    <w:rsid w:val="00283BA4"/>
    <w:rsid w:val="00287EFD"/>
    <w:rsid w:val="00294D61"/>
    <w:rsid w:val="002A717A"/>
    <w:rsid w:val="002C1937"/>
    <w:rsid w:val="002D13A4"/>
    <w:rsid w:val="002E3B05"/>
    <w:rsid w:val="002E76F3"/>
    <w:rsid w:val="003030C0"/>
    <w:rsid w:val="00304D4E"/>
    <w:rsid w:val="00321E54"/>
    <w:rsid w:val="00355988"/>
    <w:rsid w:val="00367529"/>
    <w:rsid w:val="003A3F30"/>
    <w:rsid w:val="003B584B"/>
    <w:rsid w:val="003C2755"/>
    <w:rsid w:val="003C2A0D"/>
    <w:rsid w:val="003C326D"/>
    <w:rsid w:val="003D0A30"/>
    <w:rsid w:val="003D7719"/>
    <w:rsid w:val="003E2EE8"/>
    <w:rsid w:val="003E6C1D"/>
    <w:rsid w:val="003F24FD"/>
    <w:rsid w:val="00400478"/>
    <w:rsid w:val="00403E18"/>
    <w:rsid w:val="00405164"/>
    <w:rsid w:val="00410E9F"/>
    <w:rsid w:val="00451C23"/>
    <w:rsid w:val="004554AB"/>
    <w:rsid w:val="004579B3"/>
    <w:rsid w:val="00457CD8"/>
    <w:rsid w:val="00472B9E"/>
    <w:rsid w:val="00474A86"/>
    <w:rsid w:val="00495FDC"/>
    <w:rsid w:val="004975EB"/>
    <w:rsid w:val="004C4FB7"/>
    <w:rsid w:val="004D3D3C"/>
    <w:rsid w:val="004E1102"/>
    <w:rsid w:val="004E6BE5"/>
    <w:rsid w:val="004F7DB9"/>
    <w:rsid w:val="005020C1"/>
    <w:rsid w:val="0051497B"/>
    <w:rsid w:val="00522BB4"/>
    <w:rsid w:val="0052545E"/>
    <w:rsid w:val="00525922"/>
    <w:rsid w:val="00536B0B"/>
    <w:rsid w:val="005424CA"/>
    <w:rsid w:val="005454C9"/>
    <w:rsid w:val="00553C2D"/>
    <w:rsid w:val="0059669D"/>
    <w:rsid w:val="005A7FC2"/>
    <w:rsid w:val="005C6969"/>
    <w:rsid w:val="005E070F"/>
    <w:rsid w:val="005E6CE7"/>
    <w:rsid w:val="005F4E5A"/>
    <w:rsid w:val="00613CEB"/>
    <w:rsid w:val="006148EF"/>
    <w:rsid w:val="0066208B"/>
    <w:rsid w:val="00666756"/>
    <w:rsid w:val="006945C1"/>
    <w:rsid w:val="006E51A0"/>
    <w:rsid w:val="006F2D31"/>
    <w:rsid w:val="00701FA0"/>
    <w:rsid w:val="007032FD"/>
    <w:rsid w:val="00703DEA"/>
    <w:rsid w:val="00705030"/>
    <w:rsid w:val="00730300"/>
    <w:rsid w:val="00734CF5"/>
    <w:rsid w:val="007419CC"/>
    <w:rsid w:val="007725E1"/>
    <w:rsid w:val="00772FB2"/>
    <w:rsid w:val="00777677"/>
    <w:rsid w:val="00777CE3"/>
    <w:rsid w:val="00782F67"/>
    <w:rsid w:val="00784237"/>
    <w:rsid w:val="007B35E9"/>
    <w:rsid w:val="007B4505"/>
    <w:rsid w:val="007E1CA7"/>
    <w:rsid w:val="007E27EE"/>
    <w:rsid w:val="007E3B2D"/>
    <w:rsid w:val="00802CAC"/>
    <w:rsid w:val="00827FCC"/>
    <w:rsid w:val="008304B2"/>
    <w:rsid w:val="0083348E"/>
    <w:rsid w:val="008574FA"/>
    <w:rsid w:val="00885D72"/>
    <w:rsid w:val="008D593F"/>
    <w:rsid w:val="008D7FAE"/>
    <w:rsid w:val="008E6179"/>
    <w:rsid w:val="00906F5A"/>
    <w:rsid w:val="00947D9C"/>
    <w:rsid w:val="00961711"/>
    <w:rsid w:val="00973377"/>
    <w:rsid w:val="00975739"/>
    <w:rsid w:val="009834B9"/>
    <w:rsid w:val="00995EE4"/>
    <w:rsid w:val="009B20D5"/>
    <w:rsid w:val="009B40AF"/>
    <w:rsid w:val="009C3216"/>
    <w:rsid w:val="009CA037"/>
    <w:rsid w:val="009D3B3A"/>
    <w:rsid w:val="009F3415"/>
    <w:rsid w:val="00A14B21"/>
    <w:rsid w:val="00A27541"/>
    <w:rsid w:val="00A52B51"/>
    <w:rsid w:val="00A555B4"/>
    <w:rsid w:val="00A75508"/>
    <w:rsid w:val="00A85C2B"/>
    <w:rsid w:val="00A9062E"/>
    <w:rsid w:val="00A915D1"/>
    <w:rsid w:val="00A919E2"/>
    <w:rsid w:val="00AC17B1"/>
    <w:rsid w:val="00B1104A"/>
    <w:rsid w:val="00B142FB"/>
    <w:rsid w:val="00B1690C"/>
    <w:rsid w:val="00B17EE2"/>
    <w:rsid w:val="00B279A9"/>
    <w:rsid w:val="00B32722"/>
    <w:rsid w:val="00B32F10"/>
    <w:rsid w:val="00B607A5"/>
    <w:rsid w:val="00B629AF"/>
    <w:rsid w:val="00B942B3"/>
    <w:rsid w:val="00B9677B"/>
    <w:rsid w:val="00BE46B0"/>
    <w:rsid w:val="00BF1A8E"/>
    <w:rsid w:val="00C14FA1"/>
    <w:rsid w:val="00C706B1"/>
    <w:rsid w:val="00C840A1"/>
    <w:rsid w:val="00C908D0"/>
    <w:rsid w:val="00C95397"/>
    <w:rsid w:val="00C95810"/>
    <w:rsid w:val="00CB6BE8"/>
    <w:rsid w:val="00CBAAB3"/>
    <w:rsid w:val="00CC7F13"/>
    <w:rsid w:val="00CE48EE"/>
    <w:rsid w:val="00CF023F"/>
    <w:rsid w:val="00CF50A9"/>
    <w:rsid w:val="00CF59B1"/>
    <w:rsid w:val="00D041E9"/>
    <w:rsid w:val="00D0569E"/>
    <w:rsid w:val="00D0C1CF"/>
    <w:rsid w:val="00D20F65"/>
    <w:rsid w:val="00D223D1"/>
    <w:rsid w:val="00D322A3"/>
    <w:rsid w:val="00D33F20"/>
    <w:rsid w:val="00D54BE8"/>
    <w:rsid w:val="00D72CD6"/>
    <w:rsid w:val="00DA142E"/>
    <w:rsid w:val="00DB5277"/>
    <w:rsid w:val="00DB5807"/>
    <w:rsid w:val="00DB785F"/>
    <w:rsid w:val="00DC2E9C"/>
    <w:rsid w:val="00DC306E"/>
    <w:rsid w:val="00DC436A"/>
    <w:rsid w:val="00DE2F33"/>
    <w:rsid w:val="00DF1D36"/>
    <w:rsid w:val="00E168B8"/>
    <w:rsid w:val="00E2132B"/>
    <w:rsid w:val="00E22E60"/>
    <w:rsid w:val="00E304D4"/>
    <w:rsid w:val="00E327B9"/>
    <w:rsid w:val="00E54874"/>
    <w:rsid w:val="00E66C7A"/>
    <w:rsid w:val="00E97C82"/>
    <w:rsid w:val="00EB4A1C"/>
    <w:rsid w:val="00ED1FCE"/>
    <w:rsid w:val="00ED4692"/>
    <w:rsid w:val="00F03B0B"/>
    <w:rsid w:val="00F11240"/>
    <w:rsid w:val="00F11B26"/>
    <w:rsid w:val="00F149A4"/>
    <w:rsid w:val="00F1767A"/>
    <w:rsid w:val="00F276E7"/>
    <w:rsid w:val="00F31B58"/>
    <w:rsid w:val="00F542AE"/>
    <w:rsid w:val="00F64DB0"/>
    <w:rsid w:val="00F72393"/>
    <w:rsid w:val="00F74159"/>
    <w:rsid w:val="00F759A8"/>
    <w:rsid w:val="00F83459"/>
    <w:rsid w:val="00F845F0"/>
    <w:rsid w:val="00F85C8C"/>
    <w:rsid w:val="00FA2AC2"/>
    <w:rsid w:val="00FA5FF7"/>
    <w:rsid w:val="00FB6FE6"/>
    <w:rsid w:val="00FC2EAE"/>
    <w:rsid w:val="00FD5C79"/>
    <w:rsid w:val="00FF1767"/>
    <w:rsid w:val="00FF5A78"/>
    <w:rsid w:val="00FF70BF"/>
    <w:rsid w:val="0156B2BF"/>
    <w:rsid w:val="01737193"/>
    <w:rsid w:val="01A3B17D"/>
    <w:rsid w:val="01FF9995"/>
    <w:rsid w:val="02A09B3B"/>
    <w:rsid w:val="02A42441"/>
    <w:rsid w:val="0350C6BB"/>
    <w:rsid w:val="03590398"/>
    <w:rsid w:val="03CB6746"/>
    <w:rsid w:val="06022C23"/>
    <w:rsid w:val="066D7BB0"/>
    <w:rsid w:val="068592BC"/>
    <w:rsid w:val="06DD6342"/>
    <w:rsid w:val="070F13D6"/>
    <w:rsid w:val="07611694"/>
    <w:rsid w:val="07DE309A"/>
    <w:rsid w:val="08F44C6F"/>
    <w:rsid w:val="0CBB1849"/>
    <w:rsid w:val="0EA0F836"/>
    <w:rsid w:val="0EFA5C6B"/>
    <w:rsid w:val="0FB4F242"/>
    <w:rsid w:val="1010CAF5"/>
    <w:rsid w:val="14E26A08"/>
    <w:rsid w:val="15017009"/>
    <w:rsid w:val="1779E739"/>
    <w:rsid w:val="192D2636"/>
    <w:rsid w:val="1A14A135"/>
    <w:rsid w:val="1ABB5B03"/>
    <w:rsid w:val="1CB6B991"/>
    <w:rsid w:val="1D59F8BA"/>
    <w:rsid w:val="1E24BB1A"/>
    <w:rsid w:val="1E4E87D8"/>
    <w:rsid w:val="1E8119E7"/>
    <w:rsid w:val="1F547CCE"/>
    <w:rsid w:val="209B6A63"/>
    <w:rsid w:val="21051BFA"/>
    <w:rsid w:val="21D78464"/>
    <w:rsid w:val="24E5540F"/>
    <w:rsid w:val="2532E4B9"/>
    <w:rsid w:val="265CC63C"/>
    <w:rsid w:val="26DE6E72"/>
    <w:rsid w:val="2702FC39"/>
    <w:rsid w:val="27051397"/>
    <w:rsid w:val="275B8D87"/>
    <w:rsid w:val="29D80E32"/>
    <w:rsid w:val="2A4DF96D"/>
    <w:rsid w:val="2C75FD25"/>
    <w:rsid w:val="2D742479"/>
    <w:rsid w:val="2E03C951"/>
    <w:rsid w:val="2F722016"/>
    <w:rsid w:val="31AB0E2F"/>
    <w:rsid w:val="32FC80A4"/>
    <w:rsid w:val="334D5D6E"/>
    <w:rsid w:val="33D5A733"/>
    <w:rsid w:val="341ABDD9"/>
    <w:rsid w:val="34B009F1"/>
    <w:rsid w:val="35A68DC8"/>
    <w:rsid w:val="36A1DA91"/>
    <w:rsid w:val="3A3D5952"/>
    <w:rsid w:val="3B012A55"/>
    <w:rsid w:val="3B15409A"/>
    <w:rsid w:val="3BCF27BF"/>
    <w:rsid w:val="3F47F4DF"/>
    <w:rsid w:val="3F97DA5E"/>
    <w:rsid w:val="3FC378BE"/>
    <w:rsid w:val="41CC39BE"/>
    <w:rsid w:val="41D9B19C"/>
    <w:rsid w:val="41FCDEA1"/>
    <w:rsid w:val="442DE08B"/>
    <w:rsid w:val="446CA809"/>
    <w:rsid w:val="446D36BB"/>
    <w:rsid w:val="45439B87"/>
    <w:rsid w:val="46280856"/>
    <w:rsid w:val="467E8E59"/>
    <w:rsid w:val="468BE0A5"/>
    <w:rsid w:val="472FEC6E"/>
    <w:rsid w:val="4962F070"/>
    <w:rsid w:val="49F40ED8"/>
    <w:rsid w:val="4B0EC841"/>
    <w:rsid w:val="4B7A9423"/>
    <w:rsid w:val="4BCDEDF8"/>
    <w:rsid w:val="4F87977A"/>
    <w:rsid w:val="4F8CEA70"/>
    <w:rsid w:val="4FF01447"/>
    <w:rsid w:val="50DBE36F"/>
    <w:rsid w:val="526FCE61"/>
    <w:rsid w:val="53D5ACCC"/>
    <w:rsid w:val="540B06E6"/>
    <w:rsid w:val="549FE3F8"/>
    <w:rsid w:val="5A1A087C"/>
    <w:rsid w:val="5B3F3625"/>
    <w:rsid w:val="5C4DA0BD"/>
    <w:rsid w:val="5CC6973E"/>
    <w:rsid w:val="5DB53023"/>
    <w:rsid w:val="5FF62C36"/>
    <w:rsid w:val="637AE2D3"/>
    <w:rsid w:val="63F88CBD"/>
    <w:rsid w:val="64CB55E3"/>
    <w:rsid w:val="6517A7F3"/>
    <w:rsid w:val="65289D87"/>
    <w:rsid w:val="69576BF8"/>
    <w:rsid w:val="6CD8730A"/>
    <w:rsid w:val="6D57132E"/>
    <w:rsid w:val="6DB001ED"/>
    <w:rsid w:val="6DBF45EA"/>
    <w:rsid w:val="6FCD7A0A"/>
    <w:rsid w:val="701A5DA3"/>
    <w:rsid w:val="708E0899"/>
    <w:rsid w:val="70924CCC"/>
    <w:rsid w:val="71A0A49B"/>
    <w:rsid w:val="71B8DD68"/>
    <w:rsid w:val="72E03077"/>
    <w:rsid w:val="730F95AE"/>
    <w:rsid w:val="74438CBF"/>
    <w:rsid w:val="75357E5B"/>
    <w:rsid w:val="76321FDC"/>
    <w:rsid w:val="78643B7E"/>
    <w:rsid w:val="7870F7DC"/>
    <w:rsid w:val="7E320262"/>
    <w:rsid w:val="7FB3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47C887"/>
  <w15:chartTrackingRefBased/>
  <w15:docId w15:val="{B924AF84-4F90-4B73-85A8-26586B5A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6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C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419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419CC"/>
  </w:style>
  <w:style w:type="character" w:customStyle="1" w:styleId="eop">
    <w:name w:val="eop"/>
    <w:basedOn w:val="DefaultParagraphFont"/>
    <w:rsid w:val="007419CC"/>
  </w:style>
  <w:style w:type="character" w:customStyle="1" w:styleId="wacimagecontainer">
    <w:name w:val="wacimagecontainer"/>
    <w:basedOn w:val="DefaultParagraphFont"/>
    <w:rsid w:val="007419CC"/>
  </w:style>
  <w:style w:type="character" w:styleId="Hyperlink">
    <w:name w:val="Hyperlink"/>
    <w:basedOn w:val="DefaultParagraphFont"/>
    <w:uiPriority w:val="99"/>
    <w:unhideWhenUsed/>
    <w:rsid w:val="00410E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E9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B5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27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s.virginia.gov/bill-details/20251/HB2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986C31F3EA54ABCFD3358E0574BC6" ma:contentTypeVersion="8" ma:contentTypeDescription="Create a new document." ma:contentTypeScope="" ma:versionID="f07e93424b3f383137e6cec4018edfbc">
  <xsd:schema xmlns:xsd="http://www.w3.org/2001/XMLSchema" xmlns:xs="http://www.w3.org/2001/XMLSchema" xmlns:p="http://schemas.microsoft.com/office/2006/metadata/properties" xmlns:ns2="4932d16d-9802-42ee-8710-70ae470969db" targetNamespace="http://schemas.microsoft.com/office/2006/metadata/properties" ma:root="true" ma:fieldsID="3989ca0e098bf9729babc546fcb1965e" ns2:_="">
    <xsd:import namespace="4932d16d-9802-42ee-8710-70ae47096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2d16d-9802-42ee-8710-70ae47096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AD3CB-7313-4CB3-ACC5-624516081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2d16d-9802-42ee-8710-70ae47096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A7AC1-927B-44DA-8276-94F68F679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581B2-AEDE-47DB-B0ED-63BAB98679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4516</Characters>
  <Application>Microsoft Office Word</Application>
  <DocSecurity>0</DocSecurity>
  <Lines>37</Lines>
  <Paragraphs>10</Paragraphs>
  <ScaleCrop>false</ScaleCrop>
  <Company>Roanoke City Public Schools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A. Levy</dc:creator>
  <cp:keywords/>
  <dc:description/>
  <cp:lastModifiedBy>Nevetral, Amanda (DOE)</cp:lastModifiedBy>
  <cp:revision>2</cp:revision>
  <dcterms:created xsi:type="dcterms:W3CDTF">2025-06-24T17:06:00Z</dcterms:created>
  <dcterms:modified xsi:type="dcterms:W3CDTF">2025-06-24T17:06:00Z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0x010100C51986C31F3EA54ABCFD3358E0574BC6</vt:lpwstr>
  </property>
</Properties>
</file>