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F129F" w:rsidP="14BE2069" w:rsidRDefault="007152C0" w14:paraId="64A086BB" w14:textId="42AF319F">
      <w:pPr>
        <w:pStyle w:val="Heading1"/>
        <w:rPr>
          <w:rFonts w:asciiTheme="minorHAnsi" w:hAnsiTheme="minorHAnsi" w:eastAsiaTheme="minorEastAsia" w:cstheme="minorBidi"/>
        </w:rPr>
      </w:pPr>
      <w:r w:rsidRPr="14BE2069">
        <w:rPr>
          <w:rFonts w:asciiTheme="minorHAnsi" w:hAnsiTheme="minorHAnsi" w:eastAsiaTheme="minorEastAsia" w:cstheme="minorBidi"/>
        </w:rPr>
        <w:t>Language Instruction Educational Program (LIEP) Model</w:t>
      </w:r>
    </w:p>
    <w:p w:rsidR="000F129F" w:rsidP="14BE2069" w:rsidRDefault="007152C0" w14:paraId="7AE9BD71" w14:textId="5E91FD5F">
      <w:pPr>
        <w:spacing w:after="0"/>
        <w:rPr>
          <w:rFonts w:asciiTheme="minorHAnsi" w:hAnsiTheme="minorHAnsi" w:eastAsiaTheme="minorEastAsia" w:cstheme="minorBidi"/>
          <w:b/>
          <w:bCs/>
          <w:sz w:val="32"/>
          <w:szCs w:val="32"/>
        </w:rPr>
      </w:pPr>
      <w:r w:rsidRPr="14BE2069">
        <w:rPr>
          <w:rFonts w:asciiTheme="minorHAnsi" w:hAnsiTheme="minorHAnsi" w:eastAsiaTheme="minorEastAsia" w:cstheme="minorBidi"/>
          <w:b/>
          <w:bCs/>
          <w:sz w:val="32"/>
          <w:szCs w:val="32"/>
        </w:rPr>
        <w:t>Dual Language</w:t>
      </w:r>
    </w:p>
    <w:p w:rsidR="000F129F" w:rsidRDefault="007152C0" w14:paraId="672A6659" w14:textId="77777777">
      <w:pPr>
        <w:spacing w:before="240" w:after="0"/>
        <w:jc w:val="right"/>
        <w:rPr>
          <w:b/>
          <w:sz w:val="8"/>
          <w:szCs w:val="8"/>
        </w:rPr>
      </w:pPr>
      <w:r>
        <w:br w:type="column"/>
      </w:r>
    </w:p>
    <w:p w:rsidR="000F129F" w:rsidRDefault="007152C0" w14:paraId="0A37501D" w14:textId="77777777">
      <w:pPr>
        <w:spacing w:after="0"/>
        <w:jc w:val="right"/>
        <w:rPr>
          <w:b/>
        </w:rPr>
        <w:sectPr w:rsidR="000F129F">
          <w:footerReference w:type="even" r:id="rId8"/>
          <w:footerReference w:type="default" r:id="rId9"/>
          <w:pgSz w:w="12240" w:h="15840" w:orient="portrait"/>
          <w:pgMar w:top="720" w:right="720" w:bottom="720" w:left="720" w:header="720" w:footer="720" w:gutter="0"/>
          <w:pgNumType w:start="1"/>
          <w:cols w:equalWidth="0" w:space="720" w:num="2">
            <w:col w:w="5040" w:space="720"/>
            <w:col w:w="5040"/>
          </w:cols>
        </w:sectPr>
      </w:pPr>
      <w:r>
        <w:rPr>
          <w:b/>
          <w:noProof/>
        </w:rPr>
        <w:drawing>
          <wp:inline distT="0" distB="0" distL="0" distR="0" wp14:anchorId="32760A57" wp14:editId="07777777">
            <wp:extent cx="1253563" cy="859415"/>
            <wp:effectExtent l="0" t="0" r="0" b="0"/>
            <wp:docPr id="1652712592" name="image1.png" descr="Virgini"/>
            <wp:cNvGraphicFramePr/>
            <a:graphic xmlns:a="http://schemas.openxmlformats.org/drawingml/2006/main">
              <a:graphicData uri="http://schemas.openxmlformats.org/drawingml/2006/picture">
                <pic:pic xmlns:pic="http://schemas.openxmlformats.org/drawingml/2006/picture">
                  <pic:nvPicPr>
                    <pic:cNvPr id="0" name="image1.png" descr="Virgini"/>
                    <pic:cNvPicPr preferRelativeResize="0"/>
                  </pic:nvPicPr>
                  <pic:blipFill>
                    <a:blip r:embed="rId10"/>
                    <a:srcRect/>
                    <a:stretch>
                      <a:fillRect/>
                    </a:stretch>
                  </pic:blipFill>
                  <pic:spPr>
                    <a:xfrm>
                      <a:off x="0" y="0"/>
                      <a:ext cx="1253563" cy="859415"/>
                    </a:xfrm>
                    <a:prstGeom prst="rect">
                      <a:avLst/>
                    </a:prstGeom>
                    <a:ln/>
                  </pic:spPr>
                </pic:pic>
              </a:graphicData>
            </a:graphic>
          </wp:inline>
        </w:drawing>
      </w:r>
    </w:p>
    <w:p w:rsidR="000F129F" w:rsidP="14BE2069" w:rsidRDefault="000F129F" w14:paraId="5DAB6C7B" w14:textId="77777777">
      <w:pPr>
        <w:pBdr>
          <w:top w:val="single" w:color="003C71" w:sz="12" w:space="1"/>
        </w:pBdr>
        <w:spacing w:after="0"/>
        <w:rPr>
          <w:rFonts w:asciiTheme="minorHAnsi" w:hAnsiTheme="minorHAnsi" w:eastAsiaTheme="minorEastAsia" w:cstheme="minorBidi"/>
          <w:sz w:val="8"/>
          <w:szCs w:val="8"/>
        </w:rPr>
      </w:pPr>
    </w:p>
    <w:p w:rsidR="000F129F" w:rsidP="14BE2069" w:rsidRDefault="007152C0" w14:paraId="78173F7D" w14:textId="77777777">
      <w:pPr>
        <w:pStyle w:val="Heading2"/>
        <w:rPr>
          <w:rFonts w:asciiTheme="minorHAnsi" w:hAnsiTheme="minorHAnsi" w:eastAsiaTheme="minorEastAsia" w:cstheme="minorBidi"/>
          <w:color w:val="000000"/>
          <w:sz w:val="24"/>
          <w:szCs w:val="24"/>
          <w:lang w:val="en-US"/>
        </w:rPr>
      </w:pPr>
      <w:r w:rsidRPr="14BE2069">
        <w:rPr>
          <w:rFonts w:asciiTheme="minorHAnsi" w:hAnsiTheme="minorHAnsi" w:eastAsiaTheme="minorEastAsia" w:cstheme="minorBidi"/>
          <w:color w:val="000000"/>
          <w:sz w:val="24"/>
          <w:szCs w:val="24"/>
          <w:lang w:val="en-US"/>
        </w:rPr>
        <w:t>Dual Language Immersion (DLI) programs utilize a primary language in addition to English for instruction. The program generally requires approximately equal numbers of students who are native English speakers and students with a common primary language other than English (e.g., Spanish, Mandarin, French, etc.). The program maintains and develops students’ language and literacy skills in their primary language and culture while introducing and developing skills in a second (target) language.</w:t>
      </w:r>
    </w:p>
    <w:p w:rsidR="000F129F" w:rsidP="14BE2069" w:rsidRDefault="007152C0" w14:paraId="4FB49286" w14:textId="77777777">
      <w:pPr>
        <w:pStyle w:val="Heading2"/>
        <w:rPr>
          <w:rFonts w:asciiTheme="minorHAnsi" w:hAnsiTheme="minorHAnsi" w:eastAsiaTheme="minorEastAsia" w:cstheme="minorBidi"/>
        </w:rPr>
      </w:pPr>
      <w:r w:rsidRPr="14BE2069">
        <w:rPr>
          <w:rFonts w:asciiTheme="minorHAnsi" w:hAnsiTheme="minorHAnsi" w:eastAsiaTheme="minorEastAsia" w:cstheme="minorBidi"/>
        </w:rPr>
        <w:t>Goal: What is the purpose of this model?</w:t>
      </w:r>
    </w:p>
    <w:p w:rsidR="000F129F" w:rsidP="14BE2069" w:rsidRDefault="007152C0" w14:paraId="59B4D260" w14:textId="77777777">
      <w:pPr>
        <w:pBdr>
          <w:top w:val="nil"/>
          <w:left w:val="nil"/>
          <w:bottom w:val="nil"/>
          <w:right w:val="nil"/>
          <w:between w:val="nil"/>
        </w:pBdr>
        <w:spacing w:line="240" w:lineRule="auto"/>
        <w:rPr>
          <w:rFonts w:asciiTheme="minorHAnsi" w:hAnsiTheme="minorHAnsi" w:eastAsiaTheme="minorEastAsia" w:cstheme="minorBidi"/>
          <w:color w:val="000000"/>
          <w:lang w:val="en-US"/>
        </w:rPr>
      </w:pPr>
      <w:r w:rsidRPr="14BE2069">
        <w:rPr>
          <w:rFonts w:asciiTheme="minorHAnsi" w:hAnsiTheme="minorHAnsi" w:eastAsiaTheme="minorEastAsia" w:cstheme="minorBidi"/>
          <w:color w:val="000000"/>
          <w:lang w:val="en-US"/>
        </w:rPr>
        <w:t>The overarching goal of this program is to develop bilingualism and biliteracy in English and an additional language.</w:t>
      </w:r>
    </w:p>
    <w:p w:rsidR="000F129F" w:rsidP="14BE2069" w:rsidRDefault="007152C0" w14:paraId="69F66B8B" w14:textId="77777777">
      <w:pPr>
        <w:numPr>
          <w:ilvl w:val="0"/>
          <w:numId w:val="3"/>
        </w:numPr>
        <w:pBdr>
          <w:top w:val="nil"/>
          <w:left w:val="nil"/>
          <w:bottom w:val="nil"/>
          <w:right w:val="nil"/>
          <w:between w:val="nil"/>
        </w:pBdr>
        <w:spacing w:line="240" w:lineRule="auto"/>
        <w:rPr>
          <w:rFonts w:asciiTheme="minorHAnsi" w:hAnsiTheme="minorHAnsi" w:eastAsiaTheme="minorEastAsia" w:cstheme="minorBidi"/>
          <w:color w:val="000000"/>
          <w:lang w:val="en-US"/>
        </w:rPr>
      </w:pPr>
      <w:r w:rsidRPr="14BE2069">
        <w:rPr>
          <w:rFonts w:asciiTheme="minorHAnsi" w:hAnsiTheme="minorHAnsi" w:eastAsiaTheme="minorEastAsia" w:cstheme="minorBidi"/>
          <w:color w:val="000000"/>
          <w:lang w:val="en-US"/>
        </w:rPr>
        <w:t>Utilizes instruction in two languages (English and a partner language) to develop high proficiency in both.</w:t>
      </w:r>
    </w:p>
    <w:p w:rsidR="000F129F" w:rsidP="14BE2069" w:rsidRDefault="007152C0" w14:paraId="75BD3ED0" w14:textId="77777777">
      <w:pPr>
        <w:numPr>
          <w:ilvl w:val="0"/>
          <w:numId w:val="3"/>
        </w:numPr>
        <w:pBdr>
          <w:top w:val="nil"/>
          <w:left w:val="nil"/>
          <w:bottom w:val="nil"/>
          <w:right w:val="nil"/>
          <w:between w:val="nil"/>
        </w:pBdr>
        <w:spacing w:line="240" w:lineRule="auto"/>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 xml:space="preserve">Benefits students by providing them with a strong academic foundation in multiple languages and helps them succeed academically and professionally in a global world. </w:t>
      </w:r>
    </w:p>
    <w:p w:rsidR="000F129F" w:rsidP="14BE2069" w:rsidRDefault="007152C0" w14:paraId="2770902C" w14:textId="77777777">
      <w:pPr>
        <w:pStyle w:val="Heading2"/>
        <w:rPr>
          <w:rFonts w:asciiTheme="minorHAnsi" w:hAnsiTheme="minorHAnsi" w:eastAsiaTheme="minorEastAsia" w:cstheme="minorBidi"/>
        </w:rPr>
      </w:pPr>
      <w:r w:rsidRPr="14BE2069">
        <w:rPr>
          <w:rFonts w:asciiTheme="minorHAnsi" w:hAnsiTheme="minorHAnsi" w:eastAsiaTheme="minorEastAsia" w:cstheme="minorBidi"/>
        </w:rPr>
        <w:t>Who is served in this model?</w:t>
      </w:r>
    </w:p>
    <w:p w:rsidR="000F129F" w:rsidP="14BE2069" w:rsidRDefault="007152C0" w14:paraId="7C478184" w14:textId="77777777">
      <w:pPr>
        <w:rPr>
          <w:rFonts w:asciiTheme="minorHAnsi" w:hAnsiTheme="minorHAnsi" w:eastAsiaTheme="minorEastAsia" w:cstheme="minorBidi"/>
          <w:color w:val="000000"/>
          <w:lang w:val="en-US"/>
        </w:rPr>
      </w:pPr>
      <w:r w:rsidRPr="14BE2069">
        <w:rPr>
          <w:rFonts w:asciiTheme="minorHAnsi" w:hAnsiTheme="minorHAnsi" w:eastAsiaTheme="minorEastAsia" w:cstheme="minorBidi"/>
          <w:color w:val="000000"/>
          <w:lang w:val="en-US"/>
        </w:rPr>
        <w:t>Intentionally grouped mix of learners to facilitate peer-to-peer language modeling:</w:t>
      </w:r>
    </w:p>
    <w:p w:rsidR="000F129F" w:rsidP="14BE2069" w:rsidRDefault="007152C0" w14:paraId="35FBCC3C" w14:textId="77777777">
      <w:pPr>
        <w:numPr>
          <w:ilvl w:val="0"/>
          <w:numId w:val="4"/>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Students with a primary language of English.</w:t>
      </w:r>
    </w:p>
    <w:p w:rsidR="000F129F" w:rsidP="14BE2069" w:rsidRDefault="007152C0" w14:paraId="4890464B" w14:textId="77777777">
      <w:pPr>
        <w:numPr>
          <w:ilvl w:val="0"/>
          <w:numId w:val="4"/>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English Learners.</w:t>
      </w:r>
    </w:p>
    <w:p w:rsidR="000F129F" w:rsidP="14BE2069" w:rsidRDefault="007152C0" w14:paraId="674EC17F" w14:textId="77777777">
      <w:pPr>
        <w:numPr>
          <w:ilvl w:val="0"/>
          <w:numId w:val="4"/>
        </w:numPr>
        <w:pBdr>
          <w:top w:val="nil"/>
          <w:left w:val="nil"/>
          <w:bottom w:val="nil"/>
          <w:right w:val="nil"/>
          <w:between w:val="nil"/>
        </w:pBdr>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Bilingual Learners (students who use both languages at home).</w:t>
      </w:r>
    </w:p>
    <w:p w:rsidR="000F129F" w:rsidP="14BE2069" w:rsidRDefault="007152C0" w14:paraId="1095F43E" w14:textId="77777777">
      <w:pPr>
        <w:rPr>
          <w:rFonts w:asciiTheme="minorHAnsi" w:hAnsiTheme="minorHAnsi" w:eastAsiaTheme="minorEastAsia" w:cstheme="minorBidi"/>
          <w:lang w:val="en-US"/>
        </w:rPr>
      </w:pPr>
      <w:r w:rsidRPr="14BE2069">
        <w:rPr>
          <w:rFonts w:asciiTheme="minorHAnsi" w:hAnsiTheme="minorHAnsi" w:eastAsiaTheme="minorEastAsia" w:cstheme="minorBidi"/>
          <w:lang w:val="en-US"/>
        </w:rPr>
        <w:t>This model generally requires approximately equal numbers of students (often a 50/50 ratio) whose primary language is English and students with a common primary language other than English (e.g., Spanish, Mandarin, French).</w:t>
      </w:r>
    </w:p>
    <w:p w:rsidR="000F129F" w:rsidP="14BE2069" w:rsidRDefault="007152C0" w14:paraId="326ED226" w14:textId="77777777">
      <w:pPr>
        <w:rPr>
          <w:rFonts w:asciiTheme="minorHAnsi" w:hAnsiTheme="minorHAnsi" w:eastAsiaTheme="minorEastAsia" w:cstheme="minorBidi"/>
        </w:rPr>
      </w:pPr>
      <w:r w:rsidRPr="14BE2069">
        <w:rPr>
          <w:rFonts w:asciiTheme="minorHAnsi" w:hAnsiTheme="minorHAnsi" w:eastAsiaTheme="minorEastAsia" w:cstheme="minorBidi"/>
        </w:rPr>
        <w:t>Families understand participation in the program involves a multi-year commitment to ensure biliteracy goals are met.</w:t>
      </w:r>
    </w:p>
    <w:p w:rsidR="000F129F" w:rsidP="14BE2069" w:rsidRDefault="007152C0" w14:paraId="5E05D4F6" w14:textId="77777777">
      <w:pPr>
        <w:pStyle w:val="Heading2"/>
        <w:rPr>
          <w:rFonts w:asciiTheme="minorHAnsi" w:hAnsiTheme="minorHAnsi" w:eastAsiaTheme="minorEastAsia" w:cstheme="minorBidi"/>
        </w:rPr>
      </w:pPr>
      <w:r w:rsidRPr="14BE2069">
        <w:rPr>
          <w:rFonts w:asciiTheme="minorHAnsi" w:hAnsiTheme="minorHAnsi" w:eastAsiaTheme="minorEastAsia" w:cstheme="minorBidi"/>
        </w:rPr>
        <w:t>How is this model implemented?</w:t>
      </w:r>
    </w:p>
    <w:p w:rsidR="000F129F" w:rsidP="14BE2069" w:rsidRDefault="007152C0" w14:paraId="18E6B2C7" w14:textId="77777777">
      <w:pPr>
        <w:pStyle w:val="Heading3"/>
        <w:rPr>
          <w:rFonts w:asciiTheme="minorHAnsi" w:hAnsiTheme="minorHAnsi" w:eastAsiaTheme="minorEastAsia" w:cstheme="minorBidi"/>
        </w:rPr>
      </w:pPr>
      <w:r w:rsidRPr="14BE2069">
        <w:rPr>
          <w:rFonts w:asciiTheme="minorHAnsi" w:hAnsiTheme="minorHAnsi" w:eastAsiaTheme="minorEastAsia" w:cstheme="minorBidi"/>
        </w:rPr>
        <w:t xml:space="preserve">Staffing </w:t>
      </w:r>
    </w:p>
    <w:p w:rsidR="000F129F" w:rsidP="14BE2069" w:rsidRDefault="007152C0" w14:paraId="4942F13F" w14:textId="77777777">
      <w:pPr>
        <w:numPr>
          <w:ilvl w:val="0"/>
          <w:numId w:val="3"/>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Successful implementation of this program requires educators certified to teach content and/or language in both languages:</w:t>
      </w:r>
    </w:p>
    <w:p w:rsidR="000F129F" w:rsidP="1DA7FE0A" w:rsidRDefault="007152C0" w14:paraId="7C1EB171" w14:textId="1386B092">
      <w:pPr>
        <w:numPr>
          <w:ilvl w:val="1"/>
          <w:numId w:val="3"/>
        </w:numPr>
        <w:pBdr>
          <w:top w:val="nil" w:color="000000" w:sz="0" w:space="0"/>
          <w:left w:val="nil" w:color="000000" w:sz="0" w:space="0"/>
          <w:bottom w:val="nil" w:color="000000" w:sz="0" w:space="0"/>
          <w:right w:val="nil" w:color="000000" w:sz="0" w:space="0"/>
          <w:between w:val="nil" w:color="000000" w:sz="0" w:space="0"/>
        </w:pBdr>
        <w:spacing w:after="0"/>
        <w:rPr>
          <w:rFonts w:ascii="Aptos" w:hAnsi="Aptos" w:eastAsia="游明朝" w:cs="Arial" w:asciiTheme="minorAscii" w:hAnsiTheme="minorAscii" w:eastAsiaTheme="minorEastAsia" w:cstheme="minorBidi"/>
          <w:color w:val="000000"/>
          <w:lang w:val="en-US"/>
        </w:rPr>
      </w:pPr>
      <w:r w:rsidRPr="1DA7FE0A" w:rsidR="007152C0">
        <w:rPr>
          <w:rFonts w:ascii="Aptos" w:hAnsi="Aptos" w:eastAsia="游明朝" w:cs="Arial" w:asciiTheme="minorAscii" w:hAnsiTheme="minorAscii" w:eastAsiaTheme="minorEastAsia" w:cstheme="minorBidi"/>
          <w:color w:val="000000"/>
        </w:rPr>
        <w:t xml:space="preserve">Bilingual staff </w:t>
      </w:r>
      <w:r w:rsidRPr="1DA7FE0A" w:rsidR="007152C0">
        <w:rPr>
          <w:rFonts w:ascii="Aptos" w:hAnsi="Aptos" w:eastAsia="游明朝" w:cs="Arial" w:asciiTheme="minorAscii" w:hAnsiTheme="minorAscii" w:eastAsiaTheme="minorEastAsia" w:cstheme="minorBidi"/>
          <w:color w:val="000000"/>
        </w:rPr>
        <w:t>are necessary for successful implementation</w:t>
      </w:r>
      <w:r w:rsidRPr="1DA7FE0A" w:rsidR="7CB7953F">
        <w:rPr>
          <w:rFonts w:ascii="Aptos" w:hAnsi="Aptos" w:eastAsia="游明朝" w:cs="Arial" w:asciiTheme="minorAscii" w:hAnsiTheme="minorAscii" w:eastAsiaTheme="minorEastAsia" w:cstheme="minorBidi"/>
          <w:color w:val="000000"/>
        </w:rPr>
        <w:t xml:space="preserve"> of instruction in the partner language</w:t>
      </w:r>
      <w:r w:rsidRPr="1DA7FE0A" w:rsidR="007152C0">
        <w:rPr>
          <w:rFonts w:ascii="Aptos" w:hAnsi="Aptos" w:eastAsia="游明朝" w:cs="Arial" w:asciiTheme="minorAscii" w:hAnsiTheme="minorAscii" w:eastAsiaTheme="minorEastAsia" w:cstheme="minorBidi"/>
          <w:color w:val="000000"/>
        </w:rPr>
        <w:t>.</w:t>
      </w:r>
    </w:p>
    <w:p w:rsidR="000F129F" w:rsidP="1DA7FE0A" w:rsidRDefault="007152C0" w14:paraId="6EA8F06C" w14:textId="3F673C9B">
      <w:pPr>
        <w:numPr>
          <w:ilvl w:val="1"/>
          <w:numId w:val="3"/>
        </w:numPr>
        <w:pBdr>
          <w:top w:val="nil" w:color="000000" w:sz="0" w:space="0"/>
          <w:left w:val="nil" w:color="000000" w:sz="0" w:space="0"/>
          <w:bottom w:val="nil" w:color="000000" w:sz="0" w:space="0"/>
          <w:right w:val="nil" w:color="000000" w:sz="0" w:space="0"/>
          <w:between w:val="nil" w:color="000000" w:sz="0" w:space="0"/>
        </w:pBdr>
        <w:spacing w:after="0"/>
        <w:rPr>
          <w:rFonts w:ascii="Aptos" w:hAnsi="Aptos" w:eastAsia="游明朝" w:cs="Arial" w:asciiTheme="minorAscii" w:hAnsiTheme="minorAscii" w:eastAsiaTheme="minorEastAsia" w:cstheme="minorBidi"/>
          <w:color w:val="000000"/>
          <w:lang w:val="en-US"/>
        </w:rPr>
      </w:pPr>
      <w:r w:rsidRPr="1DA7FE0A" w:rsidR="007152C0">
        <w:rPr>
          <w:rFonts w:ascii="Aptos" w:hAnsi="Aptos" w:eastAsia="游明朝" w:cs="Arial" w:asciiTheme="minorAscii" w:hAnsiTheme="minorAscii" w:eastAsiaTheme="minorEastAsia" w:cstheme="minorBidi"/>
          <w:color w:val="000000"/>
          <w:lang w:val="en-US"/>
        </w:rPr>
        <w:t xml:space="preserve">Teachers must be ESL certified </w:t>
      </w:r>
      <w:r w:rsidRPr="1DA7FE0A" w:rsidR="76589D5E">
        <w:rPr>
          <w:rFonts w:ascii="Aptos" w:hAnsi="Aptos" w:eastAsia="游明朝" w:cs="Arial" w:asciiTheme="minorAscii" w:hAnsiTheme="minorAscii" w:eastAsiaTheme="minorEastAsia" w:cstheme="minorBidi"/>
          <w:color w:val="000000"/>
          <w:lang w:val="en-US"/>
        </w:rPr>
        <w:t>if they a</w:t>
      </w:r>
      <w:r w:rsidRPr="1DA7FE0A" w:rsidR="76589D5E">
        <w:rPr>
          <w:rFonts w:ascii="Aptos" w:hAnsi="Aptos" w:eastAsia="游明朝" w:cs="Arial" w:asciiTheme="minorAscii" w:hAnsiTheme="minorAscii" w:eastAsiaTheme="minorEastAsia" w:cstheme="minorBidi"/>
          <w:color w:val="000000"/>
        </w:rPr>
        <w:t>r</w:t>
      </w:r>
      <w:r w:rsidRPr="1DA7FE0A" w:rsidR="76589D5E">
        <w:rPr>
          <w:rFonts w:ascii="Aptos" w:hAnsi="Aptos" w:eastAsia="游明朝" w:cs="Arial" w:asciiTheme="minorAscii" w:hAnsiTheme="minorAscii" w:eastAsiaTheme="minorEastAsia" w:cstheme="minorBidi"/>
          <w:color w:val="000000"/>
        </w:rPr>
        <w:t>e</w:t>
      </w:r>
      <w:r w:rsidRPr="1DA7FE0A" w:rsidR="76589D5E">
        <w:rPr>
          <w:rFonts w:ascii="Aptos" w:hAnsi="Aptos" w:eastAsia="游明朝" w:cs="Arial" w:asciiTheme="minorAscii" w:hAnsiTheme="minorAscii" w:eastAsiaTheme="minorEastAsia" w:cstheme="minorBidi"/>
          <w:color w:val="000000"/>
        </w:rPr>
        <w:t xml:space="preserve"> providing English language services</w:t>
      </w:r>
      <w:r w:rsidRPr="1DA7FE0A" w:rsidR="0F797236">
        <w:rPr>
          <w:rFonts w:ascii="Aptos" w:hAnsi="Aptos" w:eastAsia="游明朝" w:cs="Arial" w:asciiTheme="minorAscii" w:hAnsiTheme="minorAscii" w:eastAsiaTheme="minorEastAsia" w:cstheme="minorBidi"/>
          <w:color w:val="000000"/>
        </w:rPr>
        <w:t>.</w:t>
      </w:r>
    </w:p>
    <w:p w:rsidR="000F129F" w:rsidP="1DA7FE0A" w:rsidRDefault="007152C0" w14:paraId="2FFB06AD" w14:textId="53316697">
      <w:pPr>
        <w:numPr>
          <w:ilvl w:val="1"/>
          <w:numId w:val="3"/>
        </w:numPr>
        <w:pBdr>
          <w:top w:val="nil" w:color="000000" w:sz="0" w:space="0"/>
          <w:left w:val="nil" w:color="000000" w:sz="0" w:space="0"/>
          <w:bottom w:val="nil" w:color="000000" w:sz="0" w:space="0"/>
          <w:right w:val="nil" w:color="000000" w:sz="0" w:space="0"/>
          <w:between w:val="nil" w:color="000000" w:sz="0" w:space="0"/>
        </w:pBdr>
        <w:spacing w:after="0"/>
        <w:rPr>
          <w:rFonts w:ascii="Aptos" w:hAnsi="Aptos" w:eastAsia="游明朝" w:cs="Arial" w:asciiTheme="minorAscii" w:hAnsiTheme="minorAscii" w:eastAsiaTheme="minorEastAsia" w:cstheme="minorBidi"/>
          <w:color w:val="000000"/>
          <w:lang w:val="en-US"/>
        </w:rPr>
      </w:pPr>
      <w:r w:rsidRPr="1DA7FE0A" w:rsidR="76589D5E">
        <w:rPr>
          <w:rFonts w:ascii="Aptos" w:hAnsi="Aptos" w:eastAsia="游明朝" w:cs="Arial" w:asciiTheme="minorAscii" w:hAnsiTheme="minorAscii" w:eastAsiaTheme="minorEastAsia" w:cstheme="minorBidi"/>
          <w:color w:val="000000"/>
          <w:lang w:val="en-US"/>
        </w:rPr>
        <w:t>C</w:t>
      </w:r>
      <w:r w:rsidRPr="1DA7FE0A" w:rsidR="007152C0">
        <w:rPr>
          <w:rFonts w:ascii="Aptos" w:hAnsi="Aptos" w:eastAsia="游明朝" w:cs="Arial" w:asciiTheme="minorAscii" w:hAnsiTheme="minorAscii" w:eastAsiaTheme="minorEastAsia" w:cstheme="minorBidi"/>
          <w:color w:val="000000"/>
          <w:lang w:val="en-US"/>
        </w:rPr>
        <w:t>ontent teachers with specialized training in the second language acquisition process</w:t>
      </w:r>
      <w:r w:rsidRPr="1DA7FE0A" w:rsidR="0FD7363E">
        <w:rPr>
          <w:rFonts w:ascii="Aptos" w:hAnsi="Aptos" w:eastAsia="游明朝" w:cs="Arial" w:asciiTheme="minorAscii" w:hAnsiTheme="minorAscii" w:eastAsiaTheme="minorEastAsia" w:cstheme="minorBidi"/>
          <w:color w:val="000000"/>
          <w:lang w:val="en-US"/>
        </w:rPr>
        <w:t xml:space="preserve"> is preferred</w:t>
      </w:r>
      <w:r w:rsidRPr="1DA7FE0A" w:rsidR="007152C0">
        <w:rPr>
          <w:rFonts w:ascii="Aptos" w:hAnsi="Aptos" w:eastAsia="游明朝" w:cs="Arial" w:asciiTheme="minorAscii" w:hAnsiTheme="minorAscii" w:eastAsiaTheme="minorEastAsia" w:cstheme="minorBidi"/>
          <w:color w:val="000000"/>
          <w:lang w:val="en-US"/>
        </w:rPr>
        <w:t>.</w:t>
      </w:r>
    </w:p>
    <w:p w:rsidR="000F129F" w:rsidP="14BE2069" w:rsidRDefault="007152C0" w14:paraId="5A5EEE5B" w14:textId="77777777">
      <w:pPr>
        <w:numPr>
          <w:ilvl w:val="1"/>
          <w:numId w:val="3"/>
        </w:numPr>
        <w:pBdr>
          <w:top w:val="nil"/>
          <w:left w:val="nil"/>
          <w:bottom w:val="nil"/>
          <w:right w:val="nil"/>
          <w:between w:val="nil"/>
        </w:pBdr>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Teachers may also hold DLI certification.</w:t>
      </w:r>
    </w:p>
    <w:p w:rsidR="000F129F" w:rsidP="14BE2069" w:rsidRDefault="007152C0" w14:paraId="6BF37986" w14:textId="77777777">
      <w:pPr>
        <w:pStyle w:val="Heading3"/>
        <w:rPr>
          <w:rFonts w:asciiTheme="minorHAnsi" w:hAnsiTheme="minorHAnsi" w:eastAsiaTheme="minorEastAsia" w:cstheme="minorBidi"/>
        </w:rPr>
      </w:pPr>
      <w:r w:rsidRPr="14BE2069">
        <w:rPr>
          <w:rFonts w:asciiTheme="minorHAnsi" w:hAnsiTheme="minorHAnsi" w:eastAsiaTheme="minorEastAsia" w:cstheme="minorBidi"/>
        </w:rPr>
        <w:t>Setting</w:t>
      </w:r>
    </w:p>
    <w:p w:rsidR="000F129F" w:rsidP="14BE2069" w:rsidRDefault="007152C0" w14:paraId="662CFE21" w14:textId="77777777">
      <w:pPr>
        <w:numPr>
          <w:ilvl w:val="0"/>
          <w:numId w:val="3"/>
        </w:numPr>
        <w:pBdr>
          <w:top w:val="nil"/>
          <w:left w:val="nil"/>
          <w:bottom w:val="nil"/>
          <w:right w:val="nil"/>
          <w:between w:val="nil"/>
        </w:pBdr>
        <w:spacing w:after="0"/>
        <w:rPr>
          <w:rFonts w:asciiTheme="minorHAnsi" w:hAnsiTheme="minorHAnsi" w:eastAsiaTheme="minorEastAsia" w:cstheme="minorBidi"/>
          <w:color w:val="000000"/>
          <w:lang w:val="en-US"/>
        </w:rPr>
      </w:pPr>
      <w:r w:rsidRPr="14BE2069">
        <w:rPr>
          <w:rFonts w:asciiTheme="minorHAnsi" w:hAnsiTheme="minorHAnsi" w:eastAsiaTheme="minorEastAsia" w:cstheme="minorBidi"/>
          <w:color w:val="000000"/>
          <w:lang w:val="en-US"/>
        </w:rPr>
        <w:t>The majority of students begin the DLI program in primary school (e.g. Kindergarten).</w:t>
      </w:r>
    </w:p>
    <w:p w:rsidR="000F129F" w:rsidP="14BE2069" w:rsidRDefault="007152C0" w14:paraId="7B2FB1E7" w14:textId="77777777">
      <w:pPr>
        <w:numPr>
          <w:ilvl w:val="0"/>
          <w:numId w:val="3"/>
        </w:numPr>
        <w:pBdr>
          <w:top w:val="nil"/>
          <w:left w:val="nil"/>
          <w:bottom w:val="nil"/>
          <w:right w:val="nil"/>
          <w:between w:val="nil"/>
        </w:pBdr>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It can be implemented as a whole school model or a strand within a school.</w:t>
      </w:r>
    </w:p>
    <w:p w:rsidR="000F129F" w:rsidP="14BE2069" w:rsidRDefault="007152C0" w14:paraId="70B9F4B7" w14:textId="77777777">
      <w:pPr>
        <w:pStyle w:val="Heading3"/>
        <w:rPr>
          <w:rFonts w:asciiTheme="minorHAnsi" w:hAnsiTheme="minorHAnsi" w:eastAsiaTheme="minorEastAsia" w:cstheme="minorBidi"/>
        </w:rPr>
      </w:pPr>
      <w:r w:rsidRPr="14BE2069">
        <w:rPr>
          <w:rFonts w:asciiTheme="minorHAnsi" w:hAnsiTheme="minorHAnsi" w:eastAsiaTheme="minorEastAsia" w:cstheme="minorBidi"/>
        </w:rPr>
        <w:t>Instruction</w:t>
      </w:r>
    </w:p>
    <w:p w:rsidR="000F129F" w:rsidP="14BE2069" w:rsidRDefault="007152C0" w14:paraId="0E91AD58" w14:textId="77777777">
      <w:pPr>
        <w:rPr>
          <w:rFonts w:asciiTheme="minorHAnsi" w:hAnsiTheme="minorHAnsi" w:eastAsiaTheme="minorEastAsia" w:cstheme="minorBidi"/>
        </w:rPr>
      </w:pPr>
      <w:r w:rsidRPr="14BE2069">
        <w:rPr>
          <w:rFonts w:asciiTheme="minorHAnsi" w:hAnsiTheme="minorHAnsi" w:eastAsiaTheme="minorEastAsia" w:cstheme="minorBidi"/>
        </w:rPr>
        <w:t xml:space="preserve">Instruction is balanced between the two languages to achieve additive bilingualism. </w:t>
      </w:r>
    </w:p>
    <w:p w:rsidR="000F129F" w:rsidP="14BE2069" w:rsidRDefault="007152C0" w14:paraId="1A9126D9" w14:textId="77777777">
      <w:pPr>
        <w:numPr>
          <w:ilvl w:val="0"/>
          <w:numId w:val="1"/>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The program begins with at least 50% of instruction in the partner language (the language other than English) and the remaining instructional time is in English.</w:t>
      </w:r>
    </w:p>
    <w:p w:rsidR="000F129F" w:rsidP="14BE2069" w:rsidRDefault="007152C0" w14:paraId="76C07AA7" w14:textId="77777777">
      <w:pPr>
        <w:numPr>
          <w:ilvl w:val="0"/>
          <w:numId w:val="1"/>
        </w:numPr>
        <w:pBdr>
          <w:top w:val="nil"/>
          <w:left w:val="nil"/>
          <w:bottom w:val="nil"/>
          <w:right w:val="nil"/>
          <w:between w:val="nil"/>
        </w:pBdr>
        <w:spacing w:after="0"/>
        <w:rPr>
          <w:rFonts w:asciiTheme="minorHAnsi" w:hAnsiTheme="minorHAnsi" w:eastAsiaTheme="minorEastAsia" w:cstheme="minorBidi"/>
          <w:color w:val="000000"/>
          <w:lang w:val="en-US"/>
        </w:rPr>
      </w:pPr>
      <w:r w:rsidRPr="14BE2069">
        <w:rPr>
          <w:rFonts w:asciiTheme="minorHAnsi" w:hAnsiTheme="minorHAnsi" w:eastAsiaTheme="minorEastAsia" w:cstheme="minorBidi"/>
          <w:color w:val="000000"/>
          <w:lang w:val="en-US"/>
        </w:rPr>
        <w:t>At the secondary level, at least two periods per day are taught in the partner language to maintain high-level proficiency, biliteracy, and content knowledge.</w:t>
      </w:r>
    </w:p>
    <w:p w:rsidR="000F129F" w:rsidP="14BE2069" w:rsidRDefault="007152C0" w14:paraId="33A173E8" w14:textId="77777777">
      <w:pPr>
        <w:numPr>
          <w:ilvl w:val="0"/>
          <w:numId w:val="1"/>
        </w:numPr>
        <w:pBdr>
          <w:top w:val="nil"/>
          <w:left w:val="nil"/>
          <w:bottom w:val="nil"/>
          <w:right w:val="nil"/>
          <w:between w:val="nil"/>
        </w:pBdr>
        <w:spacing w:after="0"/>
        <w:rPr>
          <w:rFonts w:asciiTheme="minorHAnsi" w:hAnsiTheme="minorHAnsi" w:eastAsiaTheme="minorEastAsia" w:cstheme="minorBidi"/>
          <w:color w:val="000000"/>
          <w:lang w:val="en-US"/>
        </w:rPr>
      </w:pPr>
      <w:r w:rsidRPr="14BE2069">
        <w:rPr>
          <w:rFonts w:asciiTheme="minorHAnsi" w:hAnsiTheme="minorHAnsi" w:eastAsiaTheme="minorEastAsia" w:cstheme="minorBidi"/>
          <w:color w:val="000000"/>
          <w:lang w:val="en-US"/>
        </w:rPr>
        <w:t>For the greatest degree of success, students participate in the program for a minimum of 3-5 years.</w:t>
      </w:r>
    </w:p>
    <w:p w:rsidR="000F129F" w:rsidP="14BE2069" w:rsidRDefault="007152C0" w14:paraId="103B535C" w14:textId="77777777">
      <w:pPr>
        <w:numPr>
          <w:ilvl w:val="0"/>
          <w:numId w:val="1"/>
        </w:numPr>
        <w:pBdr>
          <w:top w:val="nil"/>
          <w:left w:val="nil"/>
          <w:bottom w:val="nil"/>
          <w:right w:val="nil"/>
          <w:between w:val="nil"/>
        </w:pBdr>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Instruction and instructional materials must be culturally responsive and reflect students’ backgrounds and experiences.</w:t>
      </w:r>
    </w:p>
    <w:p w:rsidR="000F129F" w:rsidP="14BE2069" w:rsidRDefault="007152C0" w14:paraId="071E4E01" w14:textId="77777777">
      <w:pPr>
        <w:pStyle w:val="Heading2"/>
        <w:rPr>
          <w:rFonts w:asciiTheme="minorHAnsi" w:hAnsiTheme="minorHAnsi" w:eastAsiaTheme="minorEastAsia" w:cstheme="minorBidi"/>
        </w:rPr>
      </w:pPr>
      <w:r w:rsidRPr="14BE2069">
        <w:rPr>
          <w:rFonts w:asciiTheme="minorHAnsi" w:hAnsiTheme="minorHAnsi" w:eastAsiaTheme="minorEastAsia" w:cstheme="minorBidi"/>
        </w:rPr>
        <w:t>References</w:t>
      </w:r>
    </w:p>
    <w:p w:rsidR="000F129F" w:rsidP="14BE2069" w:rsidRDefault="007152C0" w14:paraId="74306E0F" w14:textId="77777777">
      <w:pPr>
        <w:numPr>
          <w:ilvl w:val="0"/>
          <w:numId w:val="2"/>
        </w:numPr>
        <w:pBdr>
          <w:top w:val="nil"/>
          <w:left w:val="nil"/>
          <w:bottom w:val="nil"/>
          <w:right w:val="nil"/>
          <w:between w:val="nil"/>
        </w:pBdr>
        <w:spacing w:after="0"/>
        <w:rPr>
          <w:rFonts w:asciiTheme="minorHAnsi" w:hAnsiTheme="minorHAnsi" w:eastAsiaTheme="minorEastAsia" w:cstheme="minorBidi"/>
          <w:color w:val="000000"/>
          <w:lang w:val="en-US"/>
        </w:rPr>
      </w:pPr>
      <w:r w:rsidRPr="14BE2069">
        <w:rPr>
          <w:rFonts w:asciiTheme="minorHAnsi" w:hAnsiTheme="minorHAnsi" w:eastAsiaTheme="minorEastAsia" w:cstheme="minorBidi"/>
          <w:color w:val="000000"/>
          <w:lang w:val="en-US"/>
        </w:rPr>
        <w:t>Henao, S. (2022).  "Developing Effective Resources to Maintain the Target Language of a Dual Language Immersion Program". School of Education and Leadership Student Capstone Projects. 885.</w:t>
      </w:r>
      <w:r>
        <w:br/>
      </w:r>
      <w:hyperlink r:id="rId15">
        <w:r w:rsidRPr="14BE2069">
          <w:rPr>
            <w:rFonts w:asciiTheme="minorHAnsi" w:hAnsiTheme="minorHAnsi" w:eastAsiaTheme="minorEastAsia" w:cstheme="minorBidi"/>
            <w:color w:val="0563C1"/>
            <w:u w:val="single"/>
            <w:lang w:val="en-US"/>
          </w:rPr>
          <w:t>https://digitalcommons.hamline.edu/hse_cp/885</w:t>
        </w:r>
      </w:hyperlink>
      <w:r w:rsidRPr="14BE2069">
        <w:rPr>
          <w:rFonts w:asciiTheme="minorHAnsi" w:hAnsiTheme="minorHAnsi" w:eastAsiaTheme="minorEastAsia" w:cstheme="minorBidi"/>
          <w:color w:val="000000"/>
          <w:lang w:val="en-US"/>
        </w:rPr>
        <w:t xml:space="preserve"> </w:t>
      </w:r>
    </w:p>
    <w:p w:rsidR="000F129F" w:rsidP="14BE2069" w:rsidRDefault="007152C0" w14:paraId="1A941CA7" w14:textId="77777777">
      <w:pPr>
        <w:numPr>
          <w:ilvl w:val="0"/>
          <w:numId w:val="2"/>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 xml:space="preserve">Howard, E. R., Sugarman, J., &amp; Coburn, K. (2006, August). Adapting the Sheltered Instruction Observation Protocol (SIOP) for Two-Way Immersion Education: An </w:t>
      </w:r>
      <w:r>
        <w:br/>
      </w:r>
      <w:r w:rsidRPr="14BE2069">
        <w:rPr>
          <w:rFonts w:asciiTheme="minorHAnsi" w:hAnsiTheme="minorHAnsi" w:eastAsiaTheme="minorEastAsia" w:cstheme="minorBidi"/>
          <w:color w:val="000000"/>
        </w:rPr>
        <w:t xml:space="preserve">Introduction to the TWIOP. </w:t>
      </w:r>
      <w:hyperlink r:id="rId16">
        <w:r w:rsidRPr="14BE2069">
          <w:rPr>
            <w:rFonts w:asciiTheme="minorHAnsi" w:hAnsiTheme="minorHAnsi" w:eastAsiaTheme="minorEastAsia" w:cstheme="minorBidi"/>
            <w:color w:val="0563C1"/>
            <w:u w:val="single"/>
          </w:rPr>
          <w:t>https://www.cal.org/twi/TWIOP.pdf</w:t>
        </w:r>
      </w:hyperlink>
      <w:r w:rsidRPr="14BE2069">
        <w:rPr>
          <w:rFonts w:asciiTheme="minorHAnsi" w:hAnsiTheme="minorHAnsi" w:eastAsiaTheme="minorEastAsia" w:cstheme="minorBidi"/>
          <w:color w:val="000000"/>
        </w:rPr>
        <w:t xml:space="preserve"> </w:t>
      </w:r>
    </w:p>
    <w:p w:rsidR="000F129F" w:rsidP="14BE2069" w:rsidRDefault="007152C0" w14:paraId="250EEE47" w14:textId="77777777">
      <w:pPr>
        <w:numPr>
          <w:ilvl w:val="0"/>
          <w:numId w:val="2"/>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 xml:space="preserve">Kennedy, B., &amp; Medina, J. (2017). Dual language education: Answers to questions from the field. CAL Practitioner Brief. </w:t>
      </w:r>
      <w:hyperlink r:id="rId17">
        <w:r w:rsidRPr="14BE2069">
          <w:rPr>
            <w:rFonts w:asciiTheme="minorHAnsi" w:hAnsiTheme="minorHAnsi" w:eastAsiaTheme="minorEastAsia" w:cstheme="minorBidi"/>
            <w:color w:val="0563C1"/>
            <w:u w:val="single"/>
          </w:rPr>
          <w:t>https://cal.org/wp-content/uploads/2022/05/CAL-Practitioner-Brief-Dual-Language-Education-Sept2017.pdf</w:t>
        </w:r>
      </w:hyperlink>
      <w:r w:rsidRPr="14BE2069">
        <w:rPr>
          <w:rFonts w:asciiTheme="minorHAnsi" w:hAnsiTheme="minorHAnsi" w:eastAsiaTheme="minorEastAsia" w:cstheme="minorBidi"/>
          <w:color w:val="000000"/>
        </w:rPr>
        <w:t xml:space="preserve"> </w:t>
      </w:r>
    </w:p>
    <w:p w:rsidR="000F129F" w:rsidP="14BE2069" w:rsidRDefault="007152C0" w14:paraId="3B8E86C9" w14:textId="77777777">
      <w:pPr>
        <w:numPr>
          <w:ilvl w:val="0"/>
          <w:numId w:val="2"/>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 xml:space="preserve">Lachance, J. R. (n.d.). A case study of dual language program administrators- the teachers ... - ed. </w:t>
      </w:r>
      <w:hyperlink r:id="rId18">
        <w:r w:rsidRPr="14BE2069">
          <w:rPr>
            <w:rFonts w:asciiTheme="minorHAnsi" w:hAnsiTheme="minorHAnsi" w:eastAsiaTheme="minorEastAsia" w:cstheme="minorBidi"/>
            <w:color w:val="0563C1"/>
            <w:u w:val="single"/>
          </w:rPr>
          <w:t>https://files.eric.ed.gov/fulltext/EJ1145450.pdf</w:t>
        </w:r>
      </w:hyperlink>
      <w:r w:rsidRPr="14BE2069">
        <w:rPr>
          <w:rFonts w:asciiTheme="minorHAnsi" w:hAnsiTheme="minorHAnsi" w:eastAsiaTheme="minorEastAsia" w:cstheme="minorBidi"/>
          <w:color w:val="000000"/>
        </w:rPr>
        <w:t xml:space="preserve"> </w:t>
      </w:r>
    </w:p>
    <w:p w:rsidR="000F129F" w:rsidP="14BE2069" w:rsidRDefault="007152C0" w14:paraId="73659CE5" w14:textId="77777777">
      <w:pPr>
        <w:numPr>
          <w:ilvl w:val="0"/>
          <w:numId w:val="2"/>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 xml:space="preserve">Literacy Squared. (n.d.). Becoming biliterate better, not faster. </w:t>
      </w:r>
      <w:hyperlink r:id="rId19">
        <w:r w:rsidRPr="14BE2069">
          <w:rPr>
            <w:rFonts w:asciiTheme="minorHAnsi" w:hAnsiTheme="minorHAnsi" w:eastAsiaTheme="minorEastAsia" w:cstheme="minorBidi"/>
            <w:color w:val="0563C1"/>
            <w:u w:val="single"/>
          </w:rPr>
          <w:t>https://literacysquared.org/</w:t>
        </w:r>
      </w:hyperlink>
      <w:r w:rsidRPr="14BE2069">
        <w:rPr>
          <w:rFonts w:asciiTheme="minorHAnsi" w:hAnsiTheme="minorHAnsi" w:eastAsiaTheme="minorEastAsia" w:cstheme="minorBidi"/>
          <w:color w:val="000000"/>
        </w:rPr>
        <w:t xml:space="preserve"> </w:t>
      </w:r>
    </w:p>
    <w:p w:rsidR="000F129F" w:rsidP="14BE2069" w:rsidRDefault="007152C0" w14:paraId="1AF4DB8D" w14:textId="77777777">
      <w:pPr>
        <w:numPr>
          <w:ilvl w:val="0"/>
          <w:numId w:val="2"/>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 xml:space="preserve">Massachusetts Department of Elementary and Secondary Education. (n.d.). Interactive blueprint for English Learner Success. English Learner Education. </w:t>
      </w:r>
      <w:hyperlink r:id="rId20">
        <w:r w:rsidRPr="14BE2069">
          <w:rPr>
            <w:rFonts w:asciiTheme="minorHAnsi" w:hAnsiTheme="minorHAnsi" w:eastAsiaTheme="minorEastAsia" w:cstheme="minorBidi"/>
            <w:color w:val="0563C1"/>
            <w:u w:val="single"/>
          </w:rPr>
          <w:t>https://www.doe.mass.edu/ele/blueprint/dashboard.html</w:t>
        </w:r>
      </w:hyperlink>
      <w:r w:rsidRPr="14BE2069">
        <w:rPr>
          <w:rFonts w:asciiTheme="minorHAnsi" w:hAnsiTheme="minorHAnsi" w:eastAsiaTheme="minorEastAsia" w:cstheme="minorBidi"/>
          <w:color w:val="000000"/>
        </w:rPr>
        <w:t xml:space="preserve"> </w:t>
      </w:r>
    </w:p>
    <w:p w:rsidR="000F129F" w:rsidP="14BE2069" w:rsidRDefault="007152C0" w14:paraId="4B883C0B" w14:textId="77777777">
      <w:pPr>
        <w:numPr>
          <w:ilvl w:val="0"/>
          <w:numId w:val="2"/>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 xml:space="preserve">Menken, K. (2017). Leadership in Dual Language Bilingual Education. </w:t>
      </w:r>
      <w:hyperlink r:id="rId21">
        <w:r w:rsidRPr="14BE2069">
          <w:rPr>
            <w:rFonts w:asciiTheme="minorHAnsi" w:hAnsiTheme="minorHAnsi" w:eastAsiaTheme="minorEastAsia" w:cstheme="minorBidi"/>
            <w:color w:val="0563C1"/>
            <w:u w:val="single"/>
          </w:rPr>
          <w:t>https://www.cal.org/wp-content/uploads/2022/07/NDLF-White-Paper-October-2017.pdf</w:t>
        </w:r>
      </w:hyperlink>
      <w:r w:rsidRPr="14BE2069">
        <w:rPr>
          <w:rFonts w:asciiTheme="minorHAnsi" w:hAnsiTheme="minorHAnsi" w:eastAsiaTheme="minorEastAsia" w:cstheme="minorBidi"/>
          <w:color w:val="000000"/>
        </w:rPr>
        <w:t xml:space="preserve"> </w:t>
      </w:r>
    </w:p>
    <w:p w:rsidR="000F129F" w:rsidP="14BE2069" w:rsidRDefault="007152C0" w14:paraId="1DCC05B7" w14:textId="77777777">
      <w:pPr>
        <w:numPr>
          <w:ilvl w:val="0"/>
          <w:numId w:val="2"/>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 xml:space="preserve">Texas Education Agency. (2022, February 7). English Learner Program Implementation Resources. </w:t>
      </w:r>
      <w:hyperlink r:id="rId22">
        <w:r w:rsidRPr="14BE2069">
          <w:rPr>
            <w:rFonts w:asciiTheme="minorHAnsi" w:hAnsiTheme="minorHAnsi" w:eastAsiaTheme="minorEastAsia" w:cstheme="minorBidi"/>
            <w:color w:val="0563C1"/>
            <w:u w:val="single"/>
          </w:rPr>
          <w:t>https://tea.texas.gov/academics/special-student-populations/english-learner-support/english-learner-program-implementation-resources</w:t>
        </w:r>
      </w:hyperlink>
      <w:r w:rsidRPr="14BE2069">
        <w:rPr>
          <w:rFonts w:asciiTheme="minorHAnsi" w:hAnsiTheme="minorHAnsi" w:eastAsiaTheme="minorEastAsia" w:cstheme="minorBidi"/>
          <w:color w:val="000000"/>
        </w:rPr>
        <w:t xml:space="preserve"> </w:t>
      </w:r>
    </w:p>
    <w:p w:rsidR="000F129F" w:rsidP="14BE2069" w:rsidRDefault="007152C0" w14:paraId="7FA15C4F" w14:textId="77777777">
      <w:pPr>
        <w:numPr>
          <w:ilvl w:val="0"/>
          <w:numId w:val="2"/>
        </w:numPr>
        <w:pBdr>
          <w:top w:val="nil"/>
          <w:left w:val="nil"/>
          <w:bottom w:val="nil"/>
          <w:right w:val="nil"/>
          <w:between w:val="nil"/>
        </w:pBdr>
        <w:spacing w:after="0"/>
        <w:rPr>
          <w:rFonts w:asciiTheme="minorHAnsi" w:hAnsiTheme="minorHAnsi" w:eastAsiaTheme="minorEastAsia" w:cstheme="minorBidi"/>
          <w:color w:val="000000"/>
        </w:rPr>
      </w:pPr>
      <w:r w:rsidRPr="14BE2069">
        <w:rPr>
          <w:rFonts w:asciiTheme="minorHAnsi" w:hAnsiTheme="minorHAnsi" w:eastAsiaTheme="minorEastAsia" w:cstheme="minorBidi"/>
          <w:color w:val="000000"/>
        </w:rPr>
        <w:t xml:space="preserve">Virginia Department of Education. (2020). Dual Language Immersion Education. </w:t>
      </w:r>
      <w:hyperlink r:id="rId23">
        <w:r w:rsidRPr="14BE2069">
          <w:rPr>
            <w:rFonts w:asciiTheme="minorHAnsi" w:hAnsiTheme="minorHAnsi" w:eastAsiaTheme="minorEastAsia" w:cstheme="minorBidi"/>
            <w:color w:val="0563C1"/>
            <w:u w:val="single"/>
          </w:rPr>
          <w:t>https://www.doe.virginia.gov/home/showpublisheddocument/20763/638043641228500000</w:t>
        </w:r>
      </w:hyperlink>
      <w:r w:rsidRPr="14BE2069">
        <w:rPr>
          <w:rFonts w:asciiTheme="minorHAnsi" w:hAnsiTheme="minorHAnsi" w:eastAsiaTheme="minorEastAsia" w:cstheme="minorBidi"/>
          <w:color w:val="000000"/>
        </w:rPr>
        <w:t xml:space="preserve"> </w:t>
      </w:r>
    </w:p>
    <w:sectPr w:rsidR="000F129F">
      <w:type w:val="continuous"/>
      <w:pgSz w:w="12240" w:h="15840" w:orient="portrait"/>
      <w:pgMar w:top="720" w:right="720" w:bottom="720" w:left="7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50E" w:rsidRDefault="00F0050E" w14:paraId="6A05A809" w14:textId="77777777">
      <w:pPr>
        <w:spacing w:after="0" w:line="240" w:lineRule="auto"/>
      </w:pPr>
      <w:r>
        <w:separator/>
      </w:r>
    </w:p>
  </w:endnote>
  <w:endnote w:type="continuationSeparator" w:id="0">
    <w:p w:rsidR="00F0050E" w:rsidRDefault="00F0050E" w14:paraId="5A39BB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embedRegular w:fontKey="{4C11E4D2-BBB7-4665-9F34-94CEDD9BF46C}" r:id="rId1"/>
    <w:embedBold w:fontKey="{494C7DF9-0823-4864-BBC4-C2B99C151161}" r:id="rId2"/>
    <w:embedItalic w:fontKey="{AA96DB29-6B85-49BE-AEC9-D6560AC34097}" r:id="rId3"/>
  </w:font>
  <w:font w:name="Play">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embedRegular w:fontKey="{60B8C881-3E4A-42BE-AA56-E562B6A76AEE}" r:id="rId4"/>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29F" w:rsidRDefault="007152C0" w14:paraId="133EDD17" w14:textId="7777777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0F129F" w:rsidRDefault="000F129F" w14:paraId="02EB378F"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29F" w:rsidRDefault="007152C0" w14:paraId="37987995" w14:textId="6436A5B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0F129F" w:rsidRDefault="007152C0" w14:paraId="6CE1D915" w14:textId="77777777">
    <w:pPr>
      <w:pBdr>
        <w:top w:val="nil"/>
        <w:left w:val="nil"/>
        <w:bottom w:val="nil"/>
        <w:right w:val="nil"/>
        <w:between w:val="nil"/>
      </w:pBdr>
      <w:tabs>
        <w:tab w:val="center" w:pos="4680"/>
        <w:tab w:val="right" w:pos="9360"/>
        <w:tab w:val="right" w:pos="10800"/>
      </w:tabs>
      <w:spacing w:after="0" w:line="240" w:lineRule="auto"/>
      <w:rPr>
        <w:color w:val="000000"/>
        <w:sz w:val="20"/>
        <w:szCs w:val="20"/>
      </w:rPr>
    </w:pPr>
    <w:r>
      <w:rPr>
        <w:color w:val="000000"/>
        <w:sz w:val="20"/>
        <w:szCs w:val="20"/>
      </w:rPr>
      <w:t>Local Eligibility License (LEL) | FAQ</w:t>
    </w:r>
    <w:r>
      <w:rPr>
        <w:color w:val="000000"/>
        <w:sz w:val="20"/>
        <w:szCs w:val="20"/>
      </w:rPr>
      <w:tab/>
    </w:r>
    <w:r>
      <w:rPr>
        <w:color w:val="000000"/>
        <w:sz w:val="20"/>
        <w:szCs w:val="20"/>
      </w:rPr>
      <w:tab/>
    </w:r>
    <w:r>
      <w:rPr>
        <w:color w:val="000000"/>
        <w:sz w:val="20"/>
        <w:szCs w:val="20"/>
      </w:rPr>
      <w:t>VDOE| doe.virginia.gov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50E" w:rsidRDefault="00F0050E" w14:paraId="41C8F396" w14:textId="77777777">
      <w:pPr>
        <w:spacing w:after="0" w:line="240" w:lineRule="auto"/>
      </w:pPr>
      <w:r>
        <w:separator/>
      </w:r>
    </w:p>
  </w:footnote>
  <w:footnote w:type="continuationSeparator" w:id="0">
    <w:p w:rsidR="00F0050E" w:rsidRDefault="00F0050E" w14:paraId="72A3D3E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9B0"/>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6F667848"/>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72976B09"/>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760E5925"/>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479878072">
    <w:abstractNumId w:val="2"/>
  </w:num>
  <w:num w:numId="2" w16cid:durableId="1314943084">
    <w:abstractNumId w:val="1"/>
  </w:num>
  <w:num w:numId="3" w16cid:durableId="1248343664">
    <w:abstractNumId w:val="3"/>
  </w:num>
  <w:num w:numId="4" w16cid:durableId="159948439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TrueTypeFont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29F"/>
    <w:rsid w:val="00070F1B"/>
    <w:rsid w:val="0008662B"/>
    <w:rsid w:val="000F129F"/>
    <w:rsid w:val="001F3180"/>
    <w:rsid w:val="0035738D"/>
    <w:rsid w:val="00431E53"/>
    <w:rsid w:val="004548EE"/>
    <w:rsid w:val="00594F85"/>
    <w:rsid w:val="007152C0"/>
    <w:rsid w:val="007F00F3"/>
    <w:rsid w:val="008811BC"/>
    <w:rsid w:val="00914766"/>
    <w:rsid w:val="00CE0109"/>
    <w:rsid w:val="00D4292D"/>
    <w:rsid w:val="00E4324F"/>
    <w:rsid w:val="00F0050E"/>
    <w:rsid w:val="00F07677"/>
    <w:rsid w:val="00FA74B7"/>
    <w:rsid w:val="085F811E"/>
    <w:rsid w:val="0F797236"/>
    <w:rsid w:val="0FA261CF"/>
    <w:rsid w:val="0FD7363E"/>
    <w:rsid w:val="13984182"/>
    <w:rsid w:val="14BE2069"/>
    <w:rsid w:val="1DA7FE0A"/>
    <w:rsid w:val="76589D5E"/>
    <w:rsid w:val="7CB7953F"/>
    <w:rsid w:val="7DB46F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2D54"/>
  <w15:docId w15:val="{D6970AAE-4290-4CEF-A8F7-43AF1E4DEB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Aptos"/>
        <w:sz w:val="24"/>
        <w:szCs w:val="24"/>
        <w:lang w:val="e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hAnsi="Play" w:eastAsia="Play" w:cs="Play"/>
      <w:color w:val="002C54"/>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hAnsi="Play" w:eastAsia="Play" w:cs="Play"/>
      <w:color w:val="002C54"/>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02C54"/>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02C54"/>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02C54"/>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0085FB"/>
    </w:rPr>
  </w:style>
  <w:style w:type="paragraph" w:styleId="Heading7">
    <w:name w:val="heading 7"/>
    <w:basedOn w:val="Normal"/>
    <w:next w:val="Normal"/>
    <w:link w:val="Heading7Char"/>
    <w:uiPriority w:val="9"/>
    <w:semiHidden/>
    <w:unhideWhenUsed/>
    <w:qFormat/>
    <w:rsid w:val="008079FD"/>
    <w:pPr>
      <w:keepNext/>
      <w:keepLines/>
      <w:spacing w:before="40" w:after="0"/>
      <w:outlineLvl w:val="6"/>
    </w:pPr>
    <w:rPr>
      <w:rFonts w:eastAsiaTheme="majorEastAsia" w:cstheme="majorBidi"/>
      <w:color w:val="0085FB" w:themeColor="text1" w:themeTint="A6"/>
    </w:rPr>
  </w:style>
  <w:style w:type="paragraph" w:styleId="Heading8">
    <w:name w:val="heading 8"/>
    <w:basedOn w:val="Normal"/>
    <w:next w:val="Normal"/>
    <w:link w:val="Heading8Char"/>
    <w:uiPriority w:val="9"/>
    <w:semiHidden/>
    <w:unhideWhenUsed/>
    <w:qFormat/>
    <w:rsid w:val="008079FD"/>
    <w:pPr>
      <w:keepNext/>
      <w:keepLines/>
      <w:spacing w:after="0"/>
      <w:outlineLvl w:val="7"/>
    </w:pPr>
    <w:rPr>
      <w:rFonts w:eastAsiaTheme="majorEastAsia" w:cstheme="majorBidi"/>
      <w:i/>
      <w:iCs/>
      <w:color w:val="005BAD" w:themeColor="text1" w:themeTint="D8"/>
    </w:rPr>
  </w:style>
  <w:style w:type="paragraph" w:styleId="Heading9">
    <w:name w:val="heading 9"/>
    <w:basedOn w:val="Normal"/>
    <w:next w:val="Normal"/>
    <w:link w:val="Heading9Char"/>
    <w:uiPriority w:val="9"/>
    <w:semiHidden/>
    <w:unhideWhenUsed/>
    <w:qFormat/>
    <w:rsid w:val="008079FD"/>
    <w:pPr>
      <w:keepNext/>
      <w:keepLines/>
      <w:spacing w:after="0"/>
      <w:outlineLvl w:val="8"/>
    </w:pPr>
    <w:rPr>
      <w:rFonts w:eastAsiaTheme="majorEastAsia" w:cstheme="majorBidi"/>
      <w:color w:val="005BAD"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hAnsi="Play" w:eastAsia="Play" w:cs="Play"/>
      <w:sz w:val="56"/>
      <w:szCs w:val="56"/>
    </w:rPr>
  </w:style>
  <w:style w:type="character" w:styleId="Heading1Char" w:customStyle="1">
    <w:name w:val="Heading 1 Char"/>
    <w:basedOn w:val="DefaultParagraphFont"/>
    <w:link w:val="Heading1"/>
    <w:uiPriority w:val="9"/>
    <w:rsid w:val="008079FD"/>
    <w:rPr>
      <w:rFonts w:asciiTheme="majorHAnsi" w:hAnsiTheme="majorHAnsi" w:eastAsiaTheme="majorEastAsia" w:cstheme="majorBidi"/>
      <w:color w:val="002C54" w:themeColor="accent1" w:themeShade="BF"/>
      <w:sz w:val="40"/>
      <w:szCs w:val="40"/>
    </w:rPr>
  </w:style>
  <w:style w:type="character" w:styleId="Heading2Char" w:customStyle="1">
    <w:name w:val="Heading 2 Char"/>
    <w:basedOn w:val="DefaultParagraphFont"/>
    <w:link w:val="Heading2"/>
    <w:uiPriority w:val="9"/>
    <w:rsid w:val="008079FD"/>
    <w:rPr>
      <w:rFonts w:asciiTheme="majorHAnsi" w:hAnsiTheme="majorHAnsi" w:eastAsiaTheme="majorEastAsia" w:cstheme="majorBidi"/>
      <w:color w:val="002C54" w:themeColor="accent1" w:themeShade="BF"/>
      <w:sz w:val="32"/>
      <w:szCs w:val="32"/>
    </w:rPr>
  </w:style>
  <w:style w:type="character" w:styleId="Heading3Char" w:customStyle="1">
    <w:name w:val="Heading 3 Char"/>
    <w:basedOn w:val="DefaultParagraphFont"/>
    <w:link w:val="Heading3"/>
    <w:uiPriority w:val="9"/>
    <w:rsid w:val="008079FD"/>
    <w:rPr>
      <w:rFonts w:eastAsiaTheme="majorEastAsia" w:cstheme="majorBidi"/>
      <w:color w:val="002C54" w:themeColor="accent1" w:themeShade="BF"/>
      <w:sz w:val="28"/>
      <w:szCs w:val="28"/>
    </w:rPr>
  </w:style>
  <w:style w:type="character" w:styleId="Heading4Char" w:customStyle="1">
    <w:name w:val="Heading 4 Char"/>
    <w:basedOn w:val="DefaultParagraphFont"/>
    <w:link w:val="Heading4"/>
    <w:uiPriority w:val="9"/>
    <w:semiHidden/>
    <w:rsid w:val="008079FD"/>
    <w:rPr>
      <w:rFonts w:eastAsiaTheme="majorEastAsia" w:cstheme="majorBidi"/>
      <w:i/>
      <w:iCs/>
      <w:color w:val="002C54" w:themeColor="accent1" w:themeShade="BF"/>
    </w:rPr>
  </w:style>
  <w:style w:type="character" w:styleId="Heading5Char" w:customStyle="1">
    <w:name w:val="Heading 5 Char"/>
    <w:basedOn w:val="DefaultParagraphFont"/>
    <w:link w:val="Heading5"/>
    <w:uiPriority w:val="9"/>
    <w:semiHidden/>
    <w:rsid w:val="008079FD"/>
    <w:rPr>
      <w:rFonts w:eastAsiaTheme="majorEastAsia" w:cstheme="majorBidi"/>
      <w:color w:val="002C54" w:themeColor="accent1" w:themeShade="BF"/>
    </w:rPr>
  </w:style>
  <w:style w:type="character" w:styleId="Heading6Char" w:customStyle="1">
    <w:name w:val="Heading 6 Char"/>
    <w:basedOn w:val="DefaultParagraphFont"/>
    <w:link w:val="Heading6"/>
    <w:uiPriority w:val="9"/>
    <w:semiHidden/>
    <w:rsid w:val="008079FD"/>
    <w:rPr>
      <w:rFonts w:eastAsiaTheme="majorEastAsia" w:cstheme="majorBidi"/>
      <w:i/>
      <w:iCs/>
      <w:color w:val="0085FB" w:themeColor="text1" w:themeTint="A6"/>
    </w:rPr>
  </w:style>
  <w:style w:type="character" w:styleId="Heading7Char" w:customStyle="1">
    <w:name w:val="Heading 7 Char"/>
    <w:basedOn w:val="DefaultParagraphFont"/>
    <w:link w:val="Heading7"/>
    <w:uiPriority w:val="9"/>
    <w:semiHidden/>
    <w:rsid w:val="008079FD"/>
    <w:rPr>
      <w:rFonts w:eastAsiaTheme="majorEastAsia" w:cstheme="majorBidi"/>
      <w:color w:val="0085FB" w:themeColor="text1" w:themeTint="A6"/>
    </w:rPr>
  </w:style>
  <w:style w:type="character" w:styleId="Heading8Char" w:customStyle="1">
    <w:name w:val="Heading 8 Char"/>
    <w:basedOn w:val="DefaultParagraphFont"/>
    <w:link w:val="Heading8"/>
    <w:uiPriority w:val="9"/>
    <w:semiHidden/>
    <w:rsid w:val="008079FD"/>
    <w:rPr>
      <w:rFonts w:eastAsiaTheme="majorEastAsia" w:cstheme="majorBidi"/>
      <w:i/>
      <w:iCs/>
      <w:color w:val="005BAD" w:themeColor="text1" w:themeTint="D8"/>
    </w:rPr>
  </w:style>
  <w:style w:type="character" w:styleId="Heading9Char" w:customStyle="1">
    <w:name w:val="Heading 9 Char"/>
    <w:basedOn w:val="DefaultParagraphFont"/>
    <w:link w:val="Heading9"/>
    <w:uiPriority w:val="9"/>
    <w:semiHidden/>
    <w:rsid w:val="008079FD"/>
    <w:rPr>
      <w:rFonts w:eastAsiaTheme="majorEastAsia" w:cstheme="majorBidi"/>
      <w:color w:val="005BAD" w:themeColor="text1" w:themeTint="D8"/>
    </w:rPr>
  </w:style>
  <w:style w:type="character" w:styleId="TitleChar" w:customStyle="1">
    <w:name w:val="Title Char"/>
    <w:basedOn w:val="DefaultParagraphFont"/>
    <w:link w:val="Title"/>
    <w:uiPriority w:val="10"/>
    <w:rsid w:val="008079FD"/>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8079FD"/>
    <w:rPr>
      <w:rFonts w:eastAsiaTheme="majorEastAsia" w:cstheme="majorBidi"/>
      <w:color w:val="0085FB" w:themeColor="text1" w:themeTint="A6"/>
      <w:spacing w:val="15"/>
      <w:sz w:val="28"/>
      <w:szCs w:val="28"/>
    </w:rPr>
  </w:style>
  <w:style w:type="paragraph" w:styleId="Quote">
    <w:name w:val="Quote"/>
    <w:basedOn w:val="Normal"/>
    <w:next w:val="Normal"/>
    <w:link w:val="QuoteChar"/>
    <w:uiPriority w:val="29"/>
    <w:qFormat/>
    <w:rsid w:val="008079FD"/>
    <w:pPr>
      <w:spacing w:before="160"/>
      <w:jc w:val="center"/>
    </w:pPr>
    <w:rPr>
      <w:i/>
      <w:iCs/>
      <w:color w:val="0070D4" w:themeColor="text1" w:themeTint="BF"/>
    </w:rPr>
  </w:style>
  <w:style w:type="character" w:styleId="QuoteChar" w:customStyle="1">
    <w:name w:val="Quote Char"/>
    <w:basedOn w:val="DefaultParagraphFont"/>
    <w:link w:val="Quote"/>
    <w:uiPriority w:val="29"/>
    <w:rsid w:val="008079FD"/>
    <w:rPr>
      <w:i/>
      <w:iCs/>
      <w:color w:val="0070D4" w:themeColor="text1" w:themeTint="BF"/>
    </w:rPr>
  </w:style>
  <w:style w:type="paragraph" w:styleId="ListParagraph">
    <w:name w:val="List Paragraph"/>
    <w:basedOn w:val="Normal"/>
    <w:uiPriority w:val="34"/>
    <w:qFormat/>
    <w:rsid w:val="008079FD"/>
    <w:pPr>
      <w:ind w:left="720"/>
      <w:contextualSpacing/>
    </w:pPr>
  </w:style>
  <w:style w:type="character" w:styleId="IntenseEmphasis">
    <w:name w:val="Intense Emphasis"/>
    <w:basedOn w:val="DefaultParagraphFont"/>
    <w:uiPriority w:val="21"/>
    <w:qFormat/>
    <w:rsid w:val="008079FD"/>
    <w:rPr>
      <w:i/>
      <w:iCs/>
      <w:color w:val="002C54" w:themeColor="accent1" w:themeShade="BF"/>
    </w:rPr>
  </w:style>
  <w:style w:type="paragraph" w:styleId="IntenseQuote">
    <w:name w:val="Intense Quote"/>
    <w:basedOn w:val="Normal"/>
    <w:next w:val="Normal"/>
    <w:link w:val="IntenseQuoteChar"/>
    <w:uiPriority w:val="30"/>
    <w:qFormat/>
    <w:rsid w:val="008079FD"/>
    <w:pPr>
      <w:pBdr>
        <w:top w:val="single" w:color="002C54" w:themeColor="accent1" w:themeShade="BF" w:sz="4" w:space="10"/>
        <w:bottom w:val="single" w:color="002C54" w:themeColor="accent1" w:themeShade="BF" w:sz="4" w:space="10"/>
      </w:pBdr>
      <w:spacing w:before="360" w:after="360"/>
      <w:ind w:left="864" w:right="864"/>
      <w:jc w:val="center"/>
    </w:pPr>
    <w:rPr>
      <w:i/>
      <w:iCs/>
      <w:color w:val="002C54" w:themeColor="accent1" w:themeShade="BF"/>
    </w:rPr>
  </w:style>
  <w:style w:type="character" w:styleId="IntenseQuoteChar" w:customStyle="1">
    <w:name w:val="Intense Quote Char"/>
    <w:basedOn w:val="DefaultParagraphFont"/>
    <w:link w:val="IntenseQuote"/>
    <w:uiPriority w:val="30"/>
    <w:rsid w:val="008079FD"/>
    <w:rPr>
      <w:i/>
      <w:iCs/>
      <w:color w:val="002C54" w:themeColor="accent1" w:themeShade="BF"/>
    </w:rPr>
  </w:style>
  <w:style w:type="character" w:styleId="IntenseReference">
    <w:name w:val="Intense Reference"/>
    <w:basedOn w:val="DefaultParagraphFont"/>
    <w:uiPriority w:val="32"/>
    <w:qFormat/>
    <w:rsid w:val="008079FD"/>
    <w:rPr>
      <w:b/>
      <w:bCs/>
      <w:smallCaps/>
      <w:color w:val="002C54" w:themeColor="accent1" w:themeShade="BF"/>
      <w:spacing w:val="5"/>
    </w:rPr>
  </w:style>
  <w:style w:type="character" w:styleId="CommentReference">
    <w:name w:val="annotation reference"/>
    <w:basedOn w:val="DefaultParagraphFont"/>
    <w:uiPriority w:val="99"/>
    <w:semiHidden/>
    <w:unhideWhenUsed/>
    <w:rsid w:val="008079FD"/>
    <w:rPr>
      <w:sz w:val="16"/>
      <w:szCs w:val="16"/>
    </w:rPr>
  </w:style>
  <w:style w:type="paragraph" w:styleId="CommentText">
    <w:name w:val="annotation text"/>
    <w:basedOn w:val="Normal"/>
    <w:link w:val="CommentTextChar"/>
    <w:uiPriority w:val="99"/>
    <w:unhideWhenUsed/>
    <w:rsid w:val="008079FD"/>
    <w:pPr>
      <w:spacing w:after="0" w:line="240" w:lineRule="auto"/>
      <w:ind w:left="540"/>
    </w:pPr>
    <w:rPr>
      <w:sz w:val="20"/>
      <w:szCs w:val="20"/>
    </w:rPr>
  </w:style>
  <w:style w:type="character" w:styleId="CommentTextChar" w:customStyle="1">
    <w:name w:val="Comment Text Char"/>
    <w:basedOn w:val="DefaultParagraphFont"/>
    <w:link w:val="CommentText"/>
    <w:uiPriority w:val="99"/>
    <w:rsid w:val="008079FD"/>
    <w:rPr>
      <w:sz w:val="20"/>
      <w:szCs w:val="20"/>
    </w:rPr>
  </w:style>
  <w:style w:type="character" w:styleId="Hyperlink">
    <w:name w:val="Hyperlink"/>
    <w:basedOn w:val="DefaultParagraphFont"/>
    <w:uiPriority w:val="99"/>
    <w:unhideWhenUsed/>
    <w:rsid w:val="008079FD"/>
    <w:rPr>
      <w:color w:val="0563C1" w:themeColor="hyperlink"/>
      <w:u w:val="single"/>
    </w:rPr>
  </w:style>
  <w:style w:type="character" w:styleId="UnresolvedMention">
    <w:name w:val="Unresolved Mention"/>
    <w:basedOn w:val="DefaultParagraphFont"/>
    <w:uiPriority w:val="99"/>
    <w:semiHidden/>
    <w:unhideWhenUsed/>
    <w:rsid w:val="008079F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D55C4"/>
    <w:pPr>
      <w:spacing w:after="160"/>
      <w:ind w:left="0"/>
    </w:pPr>
    <w:rPr>
      <w:b/>
      <w:bCs/>
    </w:rPr>
  </w:style>
  <w:style w:type="character" w:styleId="CommentSubjectChar" w:customStyle="1">
    <w:name w:val="Comment Subject Char"/>
    <w:basedOn w:val="CommentTextChar"/>
    <w:link w:val="CommentSubject"/>
    <w:uiPriority w:val="99"/>
    <w:semiHidden/>
    <w:rsid w:val="00BD55C4"/>
    <w:rPr>
      <w:b/>
      <w:bCs/>
      <w:sz w:val="20"/>
      <w:szCs w:val="20"/>
    </w:rPr>
  </w:style>
  <w:style w:type="character" w:styleId="Mention">
    <w:name w:val="Mention"/>
    <w:basedOn w:val="DefaultParagraphFont"/>
    <w:uiPriority w:val="99"/>
    <w:unhideWhenUsed/>
    <w:rsid w:val="00BD55C4"/>
    <w:rPr>
      <w:color w:val="2B579A"/>
      <w:shd w:val="clear" w:color="auto" w:fill="E1DFDD"/>
    </w:rPr>
  </w:style>
  <w:style w:type="paragraph" w:styleId="Header">
    <w:name w:val="header"/>
    <w:basedOn w:val="Normal"/>
    <w:link w:val="HeaderChar"/>
    <w:uiPriority w:val="99"/>
    <w:unhideWhenUsed/>
    <w:rsid w:val="007F66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660E"/>
  </w:style>
  <w:style w:type="paragraph" w:styleId="Footer">
    <w:name w:val="footer"/>
    <w:basedOn w:val="Normal"/>
    <w:link w:val="FooterChar"/>
    <w:uiPriority w:val="99"/>
    <w:unhideWhenUsed/>
    <w:rsid w:val="007F66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660E"/>
  </w:style>
  <w:style w:type="table" w:styleId="TableGrid">
    <w:name w:val="Table Grid"/>
    <w:basedOn w:val="TableNormal"/>
    <w:uiPriority w:val="59"/>
    <w:rsid w:val="007F660E"/>
    <w:pPr>
      <w:spacing w:after="0" w:line="240" w:lineRule="auto"/>
    </w:pPr>
    <w:tblPr>
      <w:tblBorders>
        <w:top w:val="single" w:color="003C71" w:themeColor="text1" w:sz="4" w:space="0"/>
        <w:left w:val="single" w:color="003C71" w:themeColor="text1" w:sz="4" w:space="0"/>
        <w:bottom w:val="single" w:color="003C71" w:themeColor="text1" w:sz="4" w:space="0"/>
        <w:right w:val="single" w:color="003C71" w:themeColor="text1" w:sz="4" w:space="0"/>
        <w:insideH w:val="single" w:color="003C71" w:themeColor="text1" w:sz="4" w:space="0"/>
        <w:insideV w:val="single" w:color="003C71" w:themeColor="text1" w:sz="4" w:space="0"/>
      </w:tblBorders>
    </w:tblPr>
  </w:style>
  <w:style w:type="character" w:styleId="FollowedHyperlink">
    <w:name w:val="FollowedHyperlink"/>
    <w:basedOn w:val="DefaultParagraphFont"/>
    <w:uiPriority w:val="99"/>
    <w:semiHidden/>
    <w:unhideWhenUsed/>
    <w:rsid w:val="0022296F"/>
    <w:rPr>
      <w:color w:val="8496B0" w:themeColor="followedHyperlink"/>
      <w:u w:val="single"/>
    </w:rPr>
  </w:style>
  <w:style w:type="character" w:styleId="PageNumber">
    <w:name w:val="page number"/>
    <w:basedOn w:val="DefaultParagraphFont"/>
    <w:uiPriority w:val="99"/>
    <w:semiHidden/>
    <w:unhideWhenUsed/>
    <w:rsid w:val="002B55E7"/>
  </w:style>
  <w:style w:type="paragraph" w:styleId="NormalWeb">
    <w:name w:val="Normal (Web)"/>
    <w:basedOn w:val="Normal"/>
    <w:uiPriority w:val="99"/>
    <w:unhideWhenUsed/>
    <w:rsid w:val="00521FAC"/>
    <w:pPr>
      <w:spacing w:before="100" w:beforeAutospacing="1" w:after="100" w:afterAutospacing="1" w:line="240" w:lineRule="auto"/>
    </w:pPr>
    <w:rPr>
      <w:rFonts w:ascii="Times New Roman" w:hAnsi="Times New Roman" w:eastAsia="Times New Roman" w:cs="Times New Roman"/>
    </w:rPr>
  </w:style>
  <w:style w:type="paragraph" w:styleId="Subtitle">
    <w:name w:val="Subtitle"/>
    <w:basedOn w:val="Normal"/>
    <w:next w:val="Normal"/>
    <w:link w:val="SubtitleChar"/>
    <w:uiPriority w:val="11"/>
    <w:qFormat/>
    <w:rPr>
      <w:color w:val="0085F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6/09/relationships/commentsIds" Target="commentsIds.xml" Id="rId13" /><Relationship Type="http://schemas.openxmlformats.org/officeDocument/2006/relationships/hyperlink" Target="https://files.eric.ed.gov/fulltext/EJ1145450.pdf"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s://www.cal.org/wp-content/uploads/2022/07/NDLF-White-Paper-October-2017.pdf" TargetMode="External" Id="rId21" /><Relationship Type="http://schemas.openxmlformats.org/officeDocument/2006/relationships/endnotes" Target="endnotes.xml" Id="rId7" /><Relationship Type="http://schemas.microsoft.com/office/2011/relationships/commentsExtended" Target="commentsExtended.xml" Id="rId12" /><Relationship Type="http://schemas.openxmlformats.org/officeDocument/2006/relationships/hyperlink" Target="https://cal.org/wp-content/uploads/2022/05/CAL-Practitioner-Brief-Dual-Language-Education-Sept2017.pdf" TargetMode="External" Id="rId17" /><Relationship Type="http://schemas.microsoft.com/office/2011/relationships/people" Target="people.xml" Id="rId25" /><Relationship Type="http://schemas.openxmlformats.org/officeDocument/2006/relationships/numbering" Target="numbering.xml" Id="rId2" /><Relationship Type="http://schemas.openxmlformats.org/officeDocument/2006/relationships/hyperlink" Target="https://www.cal.org/twi/TWIOP.pdf" TargetMode="External" Id="rId16" /><Relationship Type="http://schemas.openxmlformats.org/officeDocument/2006/relationships/hyperlink" Target="https://www.doe.mass.edu/ele/blueprint/dashboard.html"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digitalcommons.hamline.edu/hse_cp/885" TargetMode="External" Id="rId15" /><Relationship Type="http://schemas.openxmlformats.org/officeDocument/2006/relationships/hyperlink" Target="https://www.doe.virginia.gov/home/showpublisheddocument/20763/638043641228500000" TargetMode="External" Id="rId23" /><Relationship Type="http://schemas.openxmlformats.org/officeDocument/2006/relationships/image" Target="media/image1.png" Id="rId10" /><Relationship Type="http://schemas.openxmlformats.org/officeDocument/2006/relationships/hyperlink" Target="https://literacysquared.org/" TargetMode="External" Id="rId19"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yperlink" Target="https://tea.texas.gov/academics/special-student-populations/english-learner-support/english-learner-program-implementation-resources" TargetMode="External" Id="rId22"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VDOE-Sans-2024">
  <a:themeElements>
    <a:clrScheme name="VDOE Colors">
      <a:dk1>
        <a:srgbClr val="003C71"/>
      </a:dk1>
      <a:lt1>
        <a:srgbClr val="FFFFFF"/>
      </a:lt1>
      <a:dk2>
        <a:srgbClr val="003C71"/>
      </a:dk2>
      <a:lt2>
        <a:srgbClr val="FFFFFF"/>
      </a:lt2>
      <a:accent1>
        <a:srgbClr val="003C71"/>
      </a:accent1>
      <a:accent2>
        <a:srgbClr val="FF6A39"/>
      </a:accent2>
      <a:accent3>
        <a:srgbClr val="555555"/>
      </a:accent3>
      <a:accent4>
        <a:srgbClr val="FFC600"/>
      </a:accent4>
      <a:accent5>
        <a:srgbClr val="0160B6"/>
      </a:accent5>
      <a:accent6>
        <a:srgbClr val="279989"/>
      </a:accent6>
      <a:hlink>
        <a:srgbClr val="0563C1"/>
      </a:hlink>
      <a:folHlink>
        <a:srgbClr val="8496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Sans-2024" id="{EF1C6F16-FED0-49E1-993D-20321F372167}" vid="{C9C26808-01A3-421F-B5B2-C3B44A6BA4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7IVtNbt9BkhzFsB4DZMWAOiqlA==">CgMxLjA4AHIhMXp6cElRLS1oM0FIUG1QaWNlWGduTlJjb3F2VHFjUFVa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Gilstrap, Rob (DOE)</dc:creator>
  <keywords/>
  <lastModifiedBy>Cox, Jo-el (DOE)</lastModifiedBy>
  <revision>7</revision>
  <dcterms:created xsi:type="dcterms:W3CDTF">2025-10-01T15:33:00.0000000Z</dcterms:created>
  <dcterms:modified xsi:type="dcterms:W3CDTF">2025-10-01T16:42:13.6549050Z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0x010100452BAF59335EF741B509A90BB073FC18</vt:lpwstr>
  </property>
</Properties>
</file>