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6D3909" w:rsidP="51C857C3" w:rsidRDefault="00CF7B7F" w14:paraId="64A086BB" wp14:textId="77777777">
      <w:pPr>
        <w:pStyle w:val="Heading1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Language Instruction Educational Program (LIEP) Model</w:t>
      </w:r>
    </w:p>
    <w:p xmlns:wp14="http://schemas.microsoft.com/office/word/2010/wordml" w:rsidR="006D3909" w:rsidP="51C857C3" w:rsidRDefault="00CF7B7F" w14:paraId="5F8C6B4D" wp14:textId="77777777">
      <w:pPr>
        <w:spacing w:after="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ESL/ELD</w:t>
      </w:r>
    </w:p>
    <w:p xmlns:wp14="http://schemas.microsoft.com/office/word/2010/wordml" w:rsidR="006D3909" w:rsidP="51C857C3" w:rsidRDefault="00CF7B7F" w14:paraId="672A6659" wp14:textId="77777777">
      <w:pPr>
        <w:spacing w:before="240" w:after="0"/>
        <w:jc w:val="righ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8"/>
          <w:szCs w:val="8"/>
        </w:rPr>
      </w:pPr>
      <w:r w:rsidRPr="51C857C3">
        <w:rPr>
          <w:rFonts w:ascii="Aptos" w:hAnsi="Aptos" w:eastAsia="Aptos" w:cs="Aptos" w:asciiTheme="minorAscii" w:hAnsiTheme="minorAscii" w:eastAsiaTheme="minorAscii" w:cstheme="minorAscii"/>
        </w:rPr>
        <w:br w:type="column"/>
      </w:r>
    </w:p>
    <w:p xmlns:wp14="http://schemas.microsoft.com/office/word/2010/wordml" w:rsidR="006D3909" w:rsidP="51C857C3" w:rsidRDefault="00CF7B7F" w14:paraId="0A37501D" wp14:textId="77777777">
      <w:pPr>
        <w:spacing w:after="0"/>
        <w:jc w:val="right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sectPr w:rsidR="006D3909">
          <w:footerReference w:type="even" r:id="rId8"/>
          <w:footerReference w:type="default" r:id="rId9"/>
          <w:pgSz w:w="12240" w:h="15840" w:orient="portrait"/>
          <w:pgMar w:top="720" w:right="720" w:bottom="720" w:left="720" w:header="720" w:footer="720" w:gutter="0"/>
          <w:pgNumType w:start="1"/>
          <w:cols w:equalWidth="0" w:space="720" w:num="2">
            <w:col w:w="5040" w:space="720"/>
            <w:col w:w="5040"/>
          </w:cols>
        </w:sectPr>
      </w:pPr>
      <w:r>
        <w:rPr>
          <w:b/>
          <w:noProof/>
        </w:rPr>
        <w:drawing>
          <wp:inline xmlns:wp14="http://schemas.microsoft.com/office/word/2010/wordprocessingDrawing" distT="0" distB="0" distL="0" distR="0" wp14:anchorId="1E46510A" wp14:editId="7777777">
            <wp:extent cx="1253563" cy="859415"/>
            <wp:effectExtent l="0" t="0" r="0" b="0"/>
            <wp:docPr id="1652712592" name="image1.png" descr="Virgi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Virgini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563" cy="859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6D3909" w:rsidRDefault="006D3909" w14:paraId="5DAB6C7B" wp14:textId="77777777">
      <w:pPr>
        <w:pBdr>
          <w:top w:val="single" w:color="003C71" w:sz="12" w:space="1"/>
        </w:pBdr>
        <w:spacing w:after="0"/>
        <w:rPr>
          <w:sz w:val="8"/>
          <w:szCs w:val="8"/>
        </w:rPr>
      </w:pPr>
    </w:p>
    <w:p xmlns:wp14="http://schemas.microsoft.com/office/word/2010/wordml" w:rsidR="006D3909" w:rsidP="51C857C3" w:rsidRDefault="00CF7B7F" w14:paraId="455A832D" wp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English as a Second Language/English Language Development (ESL/ELD) is a specialized program of techniques, methodologies, and curriculum designed to teach English Learners (ELs) English skills, which may include listening, speaking, reading, writing, study skills, content vocabulary, and cultural orientation.</w:t>
      </w:r>
    </w:p>
    <w:p xmlns:wp14="http://schemas.microsoft.com/office/word/2010/wordml" w:rsidR="006D3909" w:rsidP="51C857C3" w:rsidRDefault="00CF7B7F" w14:paraId="4FB49286" wp14:textId="77777777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Goal: What is the purpose of this model?</w:t>
      </w:r>
    </w:p>
    <w:p xmlns:wp14="http://schemas.microsoft.com/office/word/2010/wordml" w:rsidR="006D3909" w:rsidP="51C857C3" w:rsidRDefault="00CF7B7F" w14:paraId="31BE3D22" wp14:textId="77777777">
      <w:pPr>
        <w:rPr>
          <w:rFonts w:ascii="Aptos" w:hAnsi="Aptos" w:eastAsia="Aptos" w:cs="Aptos" w:asciiTheme="minorAscii" w:hAnsiTheme="minorAscii" w:eastAsiaTheme="minorAscii" w:cstheme="minorAscii"/>
          <w:lang w:val="en-US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lang w:val="en-US"/>
        </w:rPr>
        <w:t xml:space="preserve">The primary purpose of this model is to develop and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lang w:val="en-US"/>
        </w:rPr>
        <w:t>attain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lang w:val="en-US"/>
        </w:rPr>
        <w:t xml:space="preserve"> English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lang w:val="en-US"/>
        </w:rPr>
        <w:t>proficiency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lang w:val="en-US"/>
        </w:rPr>
        <w:t xml:space="preserve"> and support academic success in all content areas.</w:t>
      </w:r>
    </w:p>
    <w:p xmlns:wp14="http://schemas.microsoft.com/office/word/2010/wordml" w:rsidR="006D3909" w:rsidP="51C857C3" w:rsidRDefault="00CF7B7F" w14:paraId="3FC6690E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The ESL/ELD model can function in a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pull-out, push-in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,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or stand-alone setting to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assist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students in developing English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proficiency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.</w:t>
      </w:r>
    </w:p>
    <w:p xmlns:wp14="http://schemas.microsoft.com/office/word/2010/wordml" w:rsidR="006D3909" w:rsidP="51C857C3" w:rsidRDefault="00CF7B7F" w14:paraId="107E5143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The model focuses on explicit language instruction using academic content as the context for language learning (e.g., WIDA ELD Standards).</w:t>
      </w:r>
    </w:p>
    <w:p xmlns:wp14="http://schemas.microsoft.com/office/word/2010/wordml" w:rsidR="006D3909" w:rsidP="51C857C3" w:rsidRDefault="00CF7B7F" w14:paraId="2770902C" wp14:textId="77777777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Who is served in this model?</w:t>
      </w:r>
    </w:p>
    <w:p xmlns:wp14="http://schemas.microsoft.com/office/word/2010/wordml" w:rsidR="006D3909" w:rsidP="51C857C3" w:rsidRDefault="00CF7B7F" w14:paraId="30768A99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This model is designed to serve ELs (ELP levels 1.0-4.3 on the WIDA ACCESS or WIDA screener)</w:t>
      </w:r>
    </w:p>
    <w:p xmlns:wp14="http://schemas.microsoft.com/office/word/2010/wordml" w:rsidR="006D3909" w:rsidP="51C857C3" w:rsidRDefault="00CF7B7F" w14:paraId="413D7E0A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Students are often grouped by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proficiency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level to target instruction. </w:t>
      </w:r>
    </w:p>
    <w:p xmlns:wp14="http://schemas.microsoft.com/office/word/2010/wordml" w:rsidR="006D3909" w:rsidP="51C857C3" w:rsidRDefault="00CF7B7F" w14:paraId="34A47B6B" wp14:textId="7CB98AE6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51C857C3" w:rsidR="072CC599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This is a w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ell-suited option for linguistically heterogeneous EL populations (students speaking many different home languages) and for EL populations diverse in age and grade level.</w:t>
      </w:r>
    </w:p>
    <w:p xmlns:wp14="http://schemas.microsoft.com/office/word/2010/wordml" w:rsidR="006D3909" w:rsidP="51C857C3" w:rsidRDefault="00CF7B7F" w14:paraId="5E05D4F6" wp14:textId="77777777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How is this model implemented?</w:t>
      </w:r>
    </w:p>
    <w:p xmlns:wp14="http://schemas.microsoft.com/office/word/2010/wordml" w:rsidR="006D3909" w:rsidP="51C857C3" w:rsidRDefault="00CF7B7F" w14:paraId="18E6B2C7" wp14:textId="77777777">
      <w:pPr>
        <w:pStyle w:val="Heading3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 xml:space="preserve">Staffing </w:t>
      </w:r>
    </w:p>
    <w:p xmlns:wp14="http://schemas.microsoft.com/office/word/2010/wordml" w:rsidR="006D3909" w:rsidP="51C857C3" w:rsidRDefault="00CF7B7F" w14:paraId="7C9DF35D" wp14:textId="77777777">
      <w:pPr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Staffing ensures qualified professionals deliver specialized language instruction:</w:t>
      </w:r>
    </w:p>
    <w:p xmlns:wp14="http://schemas.microsoft.com/office/word/2010/wordml" w:rsidR="006D3909" w:rsidP="51C857C3" w:rsidRDefault="00CF7B7F" w14:paraId="0470AAB2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English as a Second Language (ESL) Teacher must hold ESL endorsement.</w:t>
      </w:r>
    </w:p>
    <w:p xmlns:wp14="http://schemas.microsoft.com/office/word/2010/wordml" w:rsidR="006D3909" w:rsidP="51C857C3" w:rsidRDefault="00CF7B7F" w14:paraId="12B69E18" wp14:textId="77777777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Standards Of Quality (SOQ) dictates the following staffing ratios:</w:t>
      </w:r>
    </w:p>
    <w:p xmlns:wp14="http://schemas.microsoft.com/office/word/2010/wordml" w:rsidR="006D3909" w:rsidP="51C857C3" w:rsidRDefault="00CF7B7F" w14:paraId="2D44D557" wp14:textId="77777777">
      <w:pPr>
        <w:numPr>
          <w:ilvl w:val="1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One teacher to 20 students at Level 1.</w:t>
      </w:r>
    </w:p>
    <w:p xmlns:wp14="http://schemas.microsoft.com/office/word/2010/wordml" w:rsidR="006D3909" w:rsidP="51C857C3" w:rsidRDefault="00CF7B7F" w14:paraId="10AF2F9F" wp14:textId="77777777">
      <w:pPr>
        <w:numPr>
          <w:ilvl w:val="1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One teacher to 30 students at Level 2.</w:t>
      </w:r>
    </w:p>
    <w:p xmlns:wp14="http://schemas.microsoft.com/office/word/2010/wordml" w:rsidR="006D3909" w:rsidP="51C857C3" w:rsidRDefault="00CF7B7F" w14:paraId="71D011A2" wp14:textId="77777777">
      <w:pPr>
        <w:numPr>
          <w:ilvl w:val="1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One teacher to 40 students at Level 3.</w:t>
      </w:r>
    </w:p>
    <w:p xmlns:wp14="http://schemas.microsoft.com/office/word/2010/wordml" w:rsidR="006D3909" w:rsidP="51C857C3" w:rsidRDefault="00CF7B7F" w14:paraId="2EBF37E2" wp14:textId="77777777">
      <w:pPr>
        <w:numPr>
          <w:ilvl w:val="1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One teacher to 50 students at Level 4.</w:t>
      </w:r>
    </w:p>
    <w:p xmlns:wp14="http://schemas.microsoft.com/office/word/2010/wordml" w:rsidR="006D3909" w:rsidP="51C857C3" w:rsidRDefault="00CF7B7F" w14:paraId="6FCAF7AC" wp14:textId="77777777">
      <w:pPr>
        <w:numPr>
          <w:ilvl w:val="1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One teacher to 100 students for EL students at a level other than 1-4.</w:t>
      </w:r>
    </w:p>
    <w:p xmlns:wp14="http://schemas.microsoft.com/office/word/2010/wordml" w:rsidR="006D3909" w:rsidP="51C857C3" w:rsidRDefault="00CF7B7F" w14:paraId="6BF37986" wp14:textId="77777777">
      <w:pPr>
        <w:pStyle w:val="Heading3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Setting</w:t>
      </w:r>
    </w:p>
    <w:p xmlns:wp14="http://schemas.microsoft.com/office/word/2010/wordml" w:rsidR="006D3909" w:rsidP="51C857C3" w:rsidRDefault="00CF7B7F" w14:paraId="77421FC4" wp14:textId="36667F1A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Pull-out: Students leave the general education classroom for a specific period of targeted language instruction</w:t>
      </w:r>
      <w:r w:rsidRPr="51C857C3" w:rsidR="6D4FB43A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with the ESL endorsed teacher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. Students spend part of the school day in an integrated classroom but are pulled out individually or in small groups for a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portion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of the day. “Out of class” times should supplement and not supplant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ELs’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access to grade-level curriculum and instruction.</w:t>
      </w:r>
    </w:p>
    <w:p xmlns:wp14="http://schemas.microsoft.com/office/word/2010/wordml" w:rsidR="006D3909" w:rsidP="51C857C3" w:rsidRDefault="00CF7B7F" w14:paraId="4FDF58D3" wp14:textId="36DE7852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Push-in: The E</w:t>
      </w:r>
      <w:r w:rsidRPr="51C857C3" w:rsidR="1D6A3CE1">
        <w:rPr>
          <w:rFonts w:ascii="Aptos" w:hAnsi="Aptos" w:eastAsia="Aptos" w:cs="Aptos" w:asciiTheme="minorAscii" w:hAnsiTheme="minorAscii" w:eastAsiaTheme="minorAscii" w:cstheme="minorAscii"/>
          <w:color w:val="000000"/>
        </w:rPr>
        <w:t>SL endorsed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 teacher joins the general education classroom to provide integrated language support to ELs (may include whole group and small group instruction).</w:t>
      </w:r>
    </w:p>
    <w:p xmlns:wp14="http://schemas.microsoft.com/office/word/2010/wordml" w:rsidR="006D3909" w:rsidP="51C857C3" w:rsidRDefault="00CF7B7F" w14:paraId="295FB59C" wp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00" w:line="276" w:lineRule="auto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Stand-alone Classrooms: ELs receive ESL/ELD instruction from an ESL endorsed teacher. </w:t>
      </w:r>
    </w:p>
    <w:p xmlns:wp14="http://schemas.microsoft.com/office/word/2010/wordml" w:rsidR="006D3909" w:rsidP="51C857C3" w:rsidRDefault="00CF7B7F" w14:paraId="70B9F4B7" wp14:textId="77777777">
      <w:pPr>
        <w:pStyle w:val="Heading3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Instruction</w:t>
      </w:r>
    </w:p>
    <w:p xmlns:wp14="http://schemas.microsoft.com/office/word/2010/wordml" w:rsidR="006D3909" w:rsidP="51C857C3" w:rsidRDefault="00CF7B7F" w14:paraId="6BD2231B" wp14:textId="77777777">
      <w:pPr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Instruction is in English and is aligned to the WIDA ELD Standards Framework.</w:t>
      </w:r>
    </w:p>
    <w:p xmlns:wp14="http://schemas.microsoft.com/office/word/2010/wordml" w:rsidR="006D3909" w:rsidP="51C857C3" w:rsidRDefault="00CF7B7F" w14:paraId="540D171A" wp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Academic content is used as the context for language learning.</w:t>
      </w:r>
    </w:p>
    <w:p xmlns:wp14="http://schemas.microsoft.com/office/word/2010/wordml" w:rsidR="006D3909" w:rsidP="51C857C3" w:rsidRDefault="00CF7B7F" w14:paraId="4C2F154B" wp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Explicit instruction is provided in all domains of communication (listening, reading, writing, and speaking) and their components:</w:t>
      </w:r>
    </w:p>
    <w:p xmlns:wp14="http://schemas.microsoft.com/office/word/2010/wordml" w:rsidR="006D3909" w:rsidP="51C857C3" w:rsidRDefault="00CF7B7F" w14:paraId="1876A559" wp14:textId="7777777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Discourse, sentence, and word/phrase dimensions.</w:t>
      </w:r>
    </w:p>
    <w:p xmlns:wp14="http://schemas.microsoft.com/office/word/2010/wordml" w:rsidR="006D3909" w:rsidP="51C857C3" w:rsidRDefault="00CF7B7F" w14:paraId="55F2DECE" wp14:textId="7777777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Language forms (vocabulary, syntax, morphology).</w:t>
      </w:r>
    </w:p>
    <w:p xmlns:wp14="http://schemas.microsoft.com/office/word/2010/wordml" w:rsidR="006D3909" w:rsidP="51C857C3" w:rsidRDefault="00CF7B7F" w14:paraId="38E43CBE" wp14:textId="77777777">
      <w:pPr>
        <w:numPr>
          <w:ilvl w:val="1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Academic and social instructional language.</w:t>
      </w:r>
    </w:p>
    <w:p xmlns:wp14="http://schemas.microsoft.com/office/word/2010/wordml" w:rsidR="006D3909" w:rsidP="51C857C3" w:rsidRDefault="00CF7B7F" w14:paraId="32F28C62" wp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Linguistically responsive instructional techniques are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utilized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, such as wait time, explicit vocabulary instruction, sentence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frames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and starters, and translanguaging.</w:t>
      </w:r>
    </w:p>
    <w:p xmlns:wp14="http://schemas.microsoft.com/office/word/2010/wordml" w:rsidR="006D3909" w:rsidP="51C857C3" w:rsidRDefault="00CF7B7F" w14:paraId="2CA4FAE7" wp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A variety of graphic, sensory, interactive, and linguistic supports are provided to ensure instruction in English is comprehensible.</w:t>
      </w:r>
    </w:p>
    <w:p xmlns:wp14="http://schemas.microsoft.com/office/word/2010/wordml" w:rsidR="006D3909" w:rsidP="51C857C3" w:rsidRDefault="00CF7B7F" w14:paraId="43A5C299" wp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Primary language(s) can be used informally as a tool to construct meaning (translanguaging).</w:t>
      </w:r>
    </w:p>
    <w:p xmlns:wp14="http://schemas.microsoft.com/office/word/2010/wordml" w:rsidR="006D3909" w:rsidP="51C857C3" w:rsidRDefault="00CF7B7F" w14:paraId="071E4E01" wp14:textId="77777777">
      <w:pPr>
        <w:pStyle w:val="Heading2"/>
        <w:rPr>
          <w:rFonts w:ascii="Aptos" w:hAnsi="Aptos" w:eastAsia="Aptos" w:cs="Aptos" w:asciiTheme="minorAscii" w:hAnsiTheme="minorAscii" w:eastAsiaTheme="minorAscii" w:cstheme="minorAscii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</w:rPr>
        <w:t>References</w:t>
      </w:r>
    </w:p>
    <w:p xmlns:wp14="http://schemas.microsoft.com/office/word/2010/wordml" w:rsidR="006D3909" w:rsidP="51C857C3" w:rsidRDefault="00CF7B7F" w14:paraId="4BDA3602" wp14:textId="77777777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Saunders, W., Goldenberg, C., &amp; Marcelletti, D. (2013). English language development guidelines for instruction.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/>
        </w:rPr>
        <w:t>American Educator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,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/>
        </w:rPr>
        <w:t>37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>(2), 13–25, 38–39.</w:t>
      </w:r>
    </w:p>
    <w:p xmlns:wp14="http://schemas.microsoft.com/office/word/2010/wordml" w:rsidR="006D3909" w:rsidP="51C857C3" w:rsidRDefault="00CF7B7F" w14:paraId="43461F7D" wp14:textId="77777777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U.S. Department of Education. (2012).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/>
          <w:lang w:val="en-US"/>
        </w:rPr>
        <w:t>Language instruction educational programs (LIEPs): A review of the foundational literature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. Office of Planning, Evaluation and Policy Development,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>Policy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and Program Studies Service.</w:t>
      </w:r>
    </w:p>
    <w:p xmlns:wp14="http://schemas.microsoft.com/office/word/2010/wordml" w:rsidR="006D3909" w:rsidP="51C857C3" w:rsidRDefault="00CF7B7F" w14:paraId="64AACBF8" wp14:textId="77777777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U.S. Department of Education. (2015).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/>
        </w:rPr>
        <w:t>Dear colleague letter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. Office for Civil Rights. </w:t>
      </w:r>
      <w:hyperlink r:id="Re1c4d792dcc343c8">
        <w:r w:rsidRPr="51C857C3" w:rsidR="00CF7B7F">
          <w:rPr>
            <w:rFonts w:ascii="Aptos" w:hAnsi="Aptos" w:eastAsia="Aptos" w:cs="Aptos" w:asciiTheme="minorAscii" w:hAnsiTheme="minorAscii" w:eastAsiaTheme="minorAscii" w:cstheme="minorAscii"/>
            <w:color w:val="0563C1"/>
            <w:u w:val="single"/>
          </w:rPr>
          <w:t>https://www2.ed.gov/about/offices/list/ocr/letters/colleague-el-201501.pdf</w:t>
        </w:r>
      </w:hyperlink>
    </w:p>
    <w:p xmlns:wp14="http://schemas.microsoft.com/office/word/2010/wordml" w:rsidR="006D3909" w:rsidP="51C857C3" w:rsidRDefault="00CF7B7F" w14:paraId="2D32750A" wp14:textId="77777777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WIDA. (2020).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/>
        </w:rPr>
        <w:t>WIDA English language development standards framework, 2020 edition: Kindergarten–grade 12 promote equity for multilingual learners teach language and content together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. </w:t>
      </w:r>
      <w:hyperlink r:id="Rcc975de6b58e40a7">
        <w:r w:rsidRPr="51C857C3" w:rsidR="00CF7B7F">
          <w:rPr>
            <w:rFonts w:ascii="Aptos" w:hAnsi="Aptos" w:eastAsia="Aptos" w:cs="Aptos" w:asciiTheme="minorAscii" w:hAnsiTheme="minorAscii" w:eastAsiaTheme="minorAscii" w:cstheme="minorAscii"/>
            <w:color w:val="0563C1"/>
            <w:u w:val="single"/>
          </w:rPr>
          <w:t>https://wida.wisc.edu/sites/default/files/resource/WIDA-ELD-Standards-Framework-2020.pdf</w:t>
        </w:r>
      </w:hyperlink>
    </w:p>
    <w:p xmlns:wp14="http://schemas.microsoft.com/office/word/2010/wordml" w:rsidR="006D3909" w:rsidP="51C857C3" w:rsidRDefault="00CF7B7F" w14:paraId="256C3FE2" wp14:textId="77777777">
      <w:pPr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Wisconsin Center for Education Research. (2015). 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/>
        </w:rPr>
        <w:t>Focus on SLIFE: Students with limited or interrupted formal education</w:t>
      </w:r>
      <w:r w:rsidRPr="51C857C3" w:rsidR="00CF7B7F">
        <w:rPr>
          <w:rFonts w:ascii="Aptos" w:hAnsi="Aptos" w:eastAsia="Aptos" w:cs="Aptos" w:asciiTheme="minorAscii" w:hAnsiTheme="minorAscii" w:eastAsiaTheme="minorAscii" w:cstheme="minorAscii"/>
          <w:color w:val="000000"/>
        </w:rPr>
        <w:t xml:space="preserve">. WIDA. </w:t>
      </w:r>
      <w:hyperlink r:id="Rc189889e39304ae6">
        <w:r w:rsidRPr="51C857C3" w:rsidR="00CF7B7F">
          <w:rPr>
            <w:rFonts w:ascii="Aptos" w:hAnsi="Aptos" w:eastAsia="Aptos" w:cs="Aptos" w:asciiTheme="minorAscii" w:hAnsiTheme="minorAscii" w:eastAsiaTheme="minorAscii" w:cstheme="minorAscii"/>
            <w:color w:val="0563C1"/>
            <w:u w:val="single"/>
          </w:rPr>
          <w:t>https://wida.wisc.edu/sites/default/files/resource/FocusOn-SLIFE.pdf</w:t>
        </w:r>
      </w:hyperlink>
    </w:p>
    <w:p xmlns:wp14="http://schemas.microsoft.com/office/word/2010/wordml" w:rsidR="006D3909" w:rsidP="51C857C3" w:rsidRDefault="006D3909" w14:paraId="02EB378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rPr>
          <w:rFonts w:ascii="Aptos" w:hAnsi="Aptos" w:eastAsia="Aptos" w:cs="Aptos" w:asciiTheme="minorAscii" w:hAnsiTheme="minorAscii" w:eastAsiaTheme="minorAscii" w:cstheme="minorAscii"/>
          <w:color w:val="000000"/>
        </w:rPr>
      </w:pPr>
    </w:p>
    <w:sectPr w:rsidR="006D3909">
      <w:type w:val="continuous"/>
      <w:pgSz w:w="12240" w:h="15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F7B7F" w:rsidRDefault="00CF7B7F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F7B7F" w:rsidRDefault="00CF7B7F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w:fontKey="{1DA7EF20-6062-4D2D-A8F6-9015A2A2F11E}" r:id="rId1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54CDC77A-D434-4B47-AAD8-AC81BA298CF8}" r:id="rId2"/>
    <w:embedBold w:fontKey="{DC25B748-7E70-4EA2-8951-9A9F2EC62A36}" r:id="rId3"/>
    <w:embedItalic w:fontKey="{C0639F36-1A4A-456B-8DA6-30414B2D7C1B}" r:id="rId4"/>
  </w:font>
  <w:font w:name="Play">
    <w:charset w:val="00"/>
    <w:family w:val="auto"/>
    <w:pitch w:val="default"/>
    <w:embedRegular w:fontKey="{E0781B65-3105-4648-9B27-168C86D73071}" r:id="rId5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7FC881C9-5AC5-42F0-AD4F-737D6A195DC3}" r:id="rId6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D3909" w:rsidRDefault="00CF7B7F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6D3909" w:rsidRDefault="006D3909" w14:paraId="6A05A80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D3909" w:rsidRDefault="00CF7B7F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6D3909" w:rsidRDefault="00CF7B7F" w14:paraId="6CE1D91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800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Local Eligibility License (LEL) | FAQ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>VDOE| doe.virginia.gov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F7B7F" w:rsidRDefault="00CF7B7F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F7B7F" w:rsidRDefault="00CF7B7F" w14:paraId="0D0B940D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5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2CB4E7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3EB5B9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718251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503622659">
    <w:abstractNumId w:val="3"/>
  </w:num>
  <w:num w:numId="2" w16cid:durableId="980038375">
    <w:abstractNumId w:val="1"/>
  </w:num>
  <w:num w:numId="3" w16cid:durableId="1387026106">
    <w:abstractNumId w:val="0"/>
  </w:num>
  <w:num w:numId="4" w16cid:durableId="104425104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09"/>
    <w:rsid w:val="006D3909"/>
    <w:rsid w:val="00BA651A"/>
    <w:rsid w:val="00CF7B7F"/>
    <w:rsid w:val="072CC599"/>
    <w:rsid w:val="1A7A6469"/>
    <w:rsid w:val="1D6A3CE1"/>
    <w:rsid w:val="2B3B3476"/>
    <w:rsid w:val="3CA25D45"/>
    <w:rsid w:val="3DFBEB89"/>
    <w:rsid w:val="51C857C3"/>
    <w:rsid w:val="571B861C"/>
    <w:rsid w:val="6D4FB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0F67A"/>
  <w15:docId w15:val="{07045828-851E-4A9F-9B5F-BA8DC1F93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ptos" w:hAnsi="Aptos" w:eastAsia="Aptos" w:cs="Aptos"/>
        <w:sz w:val="24"/>
        <w:szCs w:val="24"/>
        <w:lang w:val="e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hAnsi="Play" w:eastAsia="Play" w:cs="Play"/>
      <w:color w:val="002C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02C5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color w:val="002C5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02C5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02C5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0085F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9FD"/>
    <w:pPr>
      <w:keepNext/>
      <w:keepLines/>
      <w:spacing w:before="40" w:after="0"/>
      <w:outlineLvl w:val="6"/>
    </w:pPr>
    <w:rPr>
      <w:rFonts w:eastAsiaTheme="majorEastAsia" w:cstheme="majorBidi"/>
      <w:color w:val="0085F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9FD"/>
    <w:pPr>
      <w:keepNext/>
      <w:keepLines/>
      <w:spacing w:after="0"/>
      <w:outlineLvl w:val="7"/>
    </w:pPr>
    <w:rPr>
      <w:rFonts w:eastAsiaTheme="majorEastAsia" w:cstheme="majorBidi"/>
      <w:i/>
      <w:iCs/>
      <w:color w:val="005BA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9FD"/>
    <w:pPr>
      <w:keepNext/>
      <w:keepLines/>
      <w:spacing w:after="0"/>
      <w:outlineLvl w:val="8"/>
    </w:pPr>
    <w:rPr>
      <w:rFonts w:eastAsiaTheme="majorEastAsia" w:cstheme="majorBidi"/>
      <w:color w:val="005BAD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079FD"/>
    <w:rPr>
      <w:rFonts w:asciiTheme="majorHAnsi" w:hAnsiTheme="majorHAnsi" w:eastAsiaTheme="majorEastAsia" w:cstheme="majorBidi"/>
      <w:color w:val="002C54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079FD"/>
    <w:rPr>
      <w:rFonts w:asciiTheme="majorHAnsi" w:hAnsiTheme="majorHAnsi" w:eastAsiaTheme="majorEastAsia" w:cstheme="majorBidi"/>
      <w:color w:val="002C54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079FD"/>
    <w:rPr>
      <w:rFonts w:eastAsiaTheme="majorEastAsia" w:cstheme="majorBidi"/>
      <w:color w:val="002C54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79FD"/>
    <w:rPr>
      <w:rFonts w:eastAsiaTheme="majorEastAsia" w:cstheme="majorBidi"/>
      <w:i/>
      <w:iCs/>
      <w:color w:val="002C54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79FD"/>
    <w:rPr>
      <w:rFonts w:eastAsiaTheme="majorEastAsia" w:cstheme="majorBidi"/>
      <w:color w:val="002C54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79FD"/>
    <w:rPr>
      <w:rFonts w:eastAsiaTheme="majorEastAsia" w:cstheme="majorBidi"/>
      <w:i/>
      <w:iCs/>
      <w:color w:val="0085FB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79FD"/>
    <w:rPr>
      <w:rFonts w:eastAsiaTheme="majorEastAsia" w:cstheme="majorBidi"/>
      <w:color w:val="0085FB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79FD"/>
    <w:rPr>
      <w:rFonts w:eastAsiaTheme="majorEastAsia" w:cstheme="majorBidi"/>
      <w:i/>
      <w:iCs/>
      <w:color w:val="005BAD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79FD"/>
    <w:rPr>
      <w:rFonts w:eastAsiaTheme="majorEastAsia" w:cstheme="majorBidi"/>
      <w:color w:val="005BAD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8079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079FD"/>
    <w:rPr>
      <w:rFonts w:eastAsiaTheme="majorEastAsia" w:cstheme="majorBidi"/>
      <w:color w:val="0085F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9FD"/>
    <w:pPr>
      <w:spacing w:before="160"/>
      <w:jc w:val="center"/>
    </w:pPr>
    <w:rPr>
      <w:i/>
      <w:iCs/>
      <w:color w:val="0070D4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79FD"/>
    <w:rPr>
      <w:i/>
      <w:iCs/>
      <w:color w:val="0070D4" w:themeColor="text1" w:themeTint="BF"/>
    </w:rPr>
  </w:style>
  <w:style w:type="paragraph" w:styleId="ListParagraph">
    <w:name w:val="List Paragraph"/>
    <w:basedOn w:val="Normal"/>
    <w:uiPriority w:val="34"/>
    <w:qFormat/>
    <w:rsid w:val="00807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9FD"/>
    <w:rPr>
      <w:i/>
      <w:iCs/>
      <w:color w:val="002C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9FD"/>
    <w:pPr>
      <w:pBdr>
        <w:top w:val="single" w:color="002C54" w:themeColor="accent1" w:themeShade="BF" w:sz="4" w:space="10"/>
        <w:bottom w:val="single" w:color="002C54" w:themeColor="accent1" w:themeShade="BF" w:sz="4" w:space="10"/>
      </w:pBdr>
      <w:spacing w:before="360" w:after="360"/>
      <w:ind w:left="864" w:right="864"/>
      <w:jc w:val="center"/>
    </w:pPr>
    <w:rPr>
      <w:i/>
      <w:iCs/>
      <w:color w:val="002C54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79FD"/>
    <w:rPr>
      <w:i/>
      <w:iCs/>
      <w:color w:val="002C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9FD"/>
    <w:rPr>
      <w:b/>
      <w:bCs/>
      <w:smallCaps/>
      <w:color w:val="002C54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07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9FD"/>
    <w:pPr>
      <w:spacing w:after="0" w:line="240" w:lineRule="auto"/>
      <w:ind w:left="54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79F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9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5C4"/>
    <w:pPr>
      <w:spacing w:after="160"/>
      <w:ind w:left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5C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D55C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66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660E"/>
  </w:style>
  <w:style w:type="paragraph" w:styleId="Footer">
    <w:name w:val="footer"/>
    <w:basedOn w:val="Normal"/>
    <w:link w:val="FooterChar"/>
    <w:uiPriority w:val="99"/>
    <w:unhideWhenUsed/>
    <w:rsid w:val="007F66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660E"/>
  </w:style>
  <w:style w:type="table" w:styleId="TableGrid">
    <w:name w:val="Table Grid"/>
    <w:basedOn w:val="TableNormal"/>
    <w:uiPriority w:val="59"/>
    <w:rsid w:val="007F660E"/>
    <w:pPr>
      <w:spacing w:after="0" w:line="240" w:lineRule="auto"/>
    </w:pPr>
    <w:tblPr>
      <w:tblBorders>
        <w:top w:val="single" w:color="003C71" w:themeColor="text1" w:sz="4" w:space="0"/>
        <w:left w:val="single" w:color="003C71" w:themeColor="text1" w:sz="4" w:space="0"/>
        <w:bottom w:val="single" w:color="003C71" w:themeColor="text1" w:sz="4" w:space="0"/>
        <w:right w:val="single" w:color="003C71" w:themeColor="text1" w:sz="4" w:space="0"/>
        <w:insideH w:val="single" w:color="003C71" w:themeColor="text1" w:sz="4" w:space="0"/>
        <w:insideV w:val="single" w:color="003C71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2296F"/>
    <w:rPr>
      <w:color w:val="8496B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B55E7"/>
  </w:style>
  <w:style w:type="paragraph" w:styleId="NormalWeb">
    <w:name w:val="Normal (Web)"/>
    <w:basedOn w:val="Normal"/>
    <w:uiPriority w:val="99"/>
    <w:semiHidden/>
    <w:unhideWhenUsed/>
    <w:rsid w:val="00323E9E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85F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hyperlink" Target="https://www2.ed.gov/about/offices/list/ocr/letters/colleague-el-201501.pdf" TargetMode="External" Id="Re1c4d792dcc343c8" /><Relationship Type="http://schemas.openxmlformats.org/officeDocument/2006/relationships/hyperlink" Target="https://wida.wisc.edu/sites/default/files/resource/WIDA-ELD-Standards-Framework-2020.pdf" TargetMode="External" Id="Rcc975de6b58e40a7" /><Relationship Type="http://schemas.openxmlformats.org/officeDocument/2006/relationships/hyperlink" Target="https://wida.wisc.edu/sites/default/files/resource/FocusOn-SLIFE.pdf" TargetMode="External" Id="Rc189889e39304ae6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VDOE-Sans-2024">
  <a:themeElements>
    <a:clrScheme name="VDOE Colors">
      <a:dk1>
        <a:srgbClr val="003C71"/>
      </a:dk1>
      <a:lt1>
        <a:srgbClr val="FFFFFF"/>
      </a:lt1>
      <a:dk2>
        <a:srgbClr val="003C71"/>
      </a:dk2>
      <a:lt2>
        <a:srgbClr val="FFFFFF"/>
      </a:lt2>
      <a:accent1>
        <a:srgbClr val="003C71"/>
      </a:accent1>
      <a:accent2>
        <a:srgbClr val="FF6A39"/>
      </a:accent2>
      <a:accent3>
        <a:srgbClr val="555555"/>
      </a:accent3>
      <a:accent4>
        <a:srgbClr val="FFC600"/>
      </a:accent4>
      <a:accent5>
        <a:srgbClr val="0160B6"/>
      </a:accent5>
      <a:accent6>
        <a:srgbClr val="279989"/>
      </a:accent6>
      <a:hlink>
        <a:srgbClr val="0563C1"/>
      </a:hlink>
      <a:folHlink>
        <a:srgbClr val="8496B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DOE-Sans-2024" id="{EF1C6F16-FED0-49E1-993D-20321F372167}" vid="{C9C26808-01A3-421F-B5B2-C3B44A6BA4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kCdu0lS/BOYjEC+Qzy4x1DegQ==">CgMxLjA4AHIhMW9BeWE0Z3Z6S0dpVG9pLTBOck0zSDlpVXNTUHdOVVpJ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Gilstrap, Rob (DOE)</dc:creator>
  <lastModifiedBy>Cox, Jo-el (DOE)</lastModifiedBy>
  <revision>2</revision>
  <dcterms:created xsi:type="dcterms:W3CDTF">2025-10-01T15:40:00.0000000Z</dcterms:created>
  <dcterms:modified xsi:type="dcterms:W3CDTF">2025-10-01T16:45:31.7028553Z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0x010100452BAF59335EF741B509A90BB073FC18</vt:lpwstr>
  </property>
</Properties>
</file>