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E98A" w14:textId="0C31151B" w:rsidR="00D84A35" w:rsidRDefault="006F7560" w:rsidP="006F7560">
      <w:pPr>
        <w:spacing w:after="0" w:line="276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3D84CC0" wp14:editId="4E5FC367">
            <wp:extent cx="3179482" cy="694236"/>
            <wp:effectExtent l="0" t="0" r="1905" b="0"/>
            <wp:docPr id="5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583" cy="72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0D1E0" wp14:editId="18322813">
            <wp:extent cx="2400300" cy="691286"/>
            <wp:effectExtent l="0" t="0" r="0" b="0"/>
            <wp:docPr id="6" name="Picture 5" descr="ctetrailblaz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tetrailblaze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337" cy="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D229C" w14:textId="3AFA6242" w:rsidR="00D84A35" w:rsidRDefault="00D84A35" w:rsidP="00D84A35">
      <w:pPr>
        <w:pStyle w:val="Footer"/>
        <w:jc w:val="center"/>
        <w:rPr>
          <w:b/>
          <w:bCs/>
          <w:sz w:val="28"/>
          <w:szCs w:val="28"/>
        </w:rPr>
      </w:pPr>
    </w:p>
    <w:p w14:paraId="0B240D13" w14:textId="77777777" w:rsidR="00D84A35" w:rsidRDefault="00D84A35" w:rsidP="00D84A35">
      <w:pPr>
        <w:pStyle w:val="Footer"/>
        <w:jc w:val="center"/>
        <w:rPr>
          <w:b/>
          <w:bCs/>
          <w:sz w:val="28"/>
          <w:szCs w:val="28"/>
        </w:rPr>
      </w:pPr>
    </w:p>
    <w:p w14:paraId="0C05C8B3" w14:textId="5E98132A" w:rsidR="00D84A35" w:rsidRDefault="00D84A35" w:rsidP="00D84A35">
      <w:pPr>
        <w:pStyle w:val="Footer"/>
        <w:jc w:val="center"/>
        <w:rPr>
          <w:b/>
          <w:bCs/>
          <w:sz w:val="28"/>
          <w:szCs w:val="28"/>
        </w:rPr>
      </w:pPr>
      <w:r w:rsidRPr="00D84A35">
        <w:rPr>
          <w:b/>
          <w:bCs/>
          <w:sz w:val="28"/>
          <w:szCs w:val="28"/>
        </w:rPr>
        <w:t>Virginia’s Method for Defining Nontraditional Secondary CTE Courses</w:t>
      </w:r>
    </w:p>
    <w:p w14:paraId="4F99F47A" w14:textId="6035D3A8" w:rsidR="00D84A35" w:rsidRPr="00D84A35" w:rsidRDefault="00D84A35" w:rsidP="00D84A35">
      <w:pPr>
        <w:pStyle w:val="Footer"/>
        <w:jc w:val="center"/>
        <w:rPr>
          <w:sz w:val="28"/>
          <w:szCs w:val="28"/>
        </w:rPr>
      </w:pPr>
      <w:r w:rsidRPr="00D84A35">
        <w:rPr>
          <w:sz w:val="28"/>
          <w:szCs w:val="28"/>
        </w:rPr>
        <w:t>November 2025</w:t>
      </w:r>
    </w:p>
    <w:p w14:paraId="091405F9" w14:textId="77777777" w:rsidR="00D84A35" w:rsidRPr="00D84A35" w:rsidRDefault="00D84A35" w:rsidP="00D84A35">
      <w:pPr>
        <w:pStyle w:val="Footer"/>
        <w:jc w:val="center"/>
        <w:rPr>
          <w:b/>
          <w:bCs/>
          <w:sz w:val="28"/>
          <w:szCs w:val="28"/>
        </w:rPr>
      </w:pPr>
    </w:p>
    <w:p w14:paraId="0E36A7E8" w14:textId="77777777" w:rsidR="00D84A35" w:rsidRDefault="00D84A35" w:rsidP="001E64B8">
      <w:pPr>
        <w:spacing w:after="0" w:line="276" w:lineRule="auto"/>
        <w:rPr>
          <w:b/>
          <w:bCs/>
        </w:rPr>
      </w:pPr>
    </w:p>
    <w:p w14:paraId="207A52D8" w14:textId="77777777" w:rsidR="00D84A35" w:rsidRDefault="00D84A35" w:rsidP="001E64B8">
      <w:pPr>
        <w:spacing w:after="0" w:line="276" w:lineRule="auto"/>
        <w:rPr>
          <w:b/>
          <w:bCs/>
        </w:rPr>
      </w:pPr>
    </w:p>
    <w:p w14:paraId="1E53DF53" w14:textId="61D416C4" w:rsidR="001E64B8" w:rsidRPr="001A36F0" w:rsidRDefault="001E64B8" w:rsidP="001E64B8">
      <w:pPr>
        <w:spacing w:after="0" w:line="276" w:lineRule="auto"/>
        <w:rPr>
          <w:b/>
          <w:bCs/>
        </w:rPr>
      </w:pPr>
      <w:r w:rsidRPr="001A36F0">
        <w:rPr>
          <w:b/>
          <w:bCs/>
        </w:rPr>
        <w:t>Introduction</w:t>
      </w:r>
    </w:p>
    <w:p w14:paraId="12AB329F" w14:textId="77777777" w:rsidR="001E64B8" w:rsidRDefault="001E64B8" w:rsidP="001E64B8">
      <w:pPr>
        <w:spacing w:after="0" w:line="276" w:lineRule="auto"/>
      </w:pPr>
      <w:r>
        <w:t xml:space="preserve">One of the goals of the Strengthening Career and Technical Education for the 21st </w:t>
      </w:r>
    </w:p>
    <w:p w14:paraId="4CC1AB78" w14:textId="77777777" w:rsidR="001E64B8" w:rsidRDefault="001E64B8" w:rsidP="001E64B8">
      <w:pPr>
        <w:spacing w:after="0" w:line="276" w:lineRule="auto"/>
      </w:pPr>
      <w:r>
        <w:t xml:space="preserve">Century Act (Perkins V Act) is to support students who are preparing for occupations </w:t>
      </w:r>
    </w:p>
    <w:p w14:paraId="3CDBECCA" w14:textId="77777777" w:rsidR="001E64B8" w:rsidRDefault="001E64B8" w:rsidP="001E64B8">
      <w:pPr>
        <w:spacing w:after="0" w:line="276" w:lineRule="auto"/>
      </w:pPr>
      <w:r>
        <w:t xml:space="preserve">that are nontraditional career choices based on gender. These nontraditional </w:t>
      </w:r>
    </w:p>
    <w:p w14:paraId="5C17E530" w14:textId="77777777" w:rsidR="001E64B8" w:rsidRDefault="001E64B8" w:rsidP="001E64B8">
      <w:pPr>
        <w:spacing w:after="0" w:line="276" w:lineRule="auto"/>
      </w:pPr>
      <w:r>
        <w:t xml:space="preserve">occupations are defined by the Perkins Act as those in which “individuals from one </w:t>
      </w:r>
    </w:p>
    <w:p w14:paraId="1BC03A2E" w14:textId="77777777" w:rsidR="001E64B8" w:rsidRDefault="001E64B8" w:rsidP="001E64B8">
      <w:pPr>
        <w:spacing w:after="0" w:line="276" w:lineRule="auto"/>
      </w:pPr>
      <w:r>
        <w:t xml:space="preserve">gender comprise less than 25 percent of the individuals employed in each such </w:t>
      </w:r>
    </w:p>
    <w:p w14:paraId="3884C516" w14:textId="77777777" w:rsidR="001E64B8" w:rsidRDefault="001E64B8" w:rsidP="001E64B8">
      <w:pPr>
        <w:spacing w:after="0" w:line="276" w:lineRule="auto"/>
      </w:pPr>
      <w:r>
        <w:t xml:space="preserve">occupation or field of work.” For Career and Technical Education (CTE) students, </w:t>
      </w:r>
    </w:p>
    <w:p w14:paraId="5889B6AE" w14:textId="77777777" w:rsidR="001E64B8" w:rsidRDefault="001E64B8" w:rsidP="001E64B8">
      <w:pPr>
        <w:spacing w:after="0" w:line="276" w:lineRule="auto"/>
      </w:pPr>
      <w:r>
        <w:t xml:space="preserve">potential benefits of this support include greater employment satisfaction, higher </w:t>
      </w:r>
    </w:p>
    <w:p w14:paraId="36321B4F" w14:textId="77777777" w:rsidR="001E64B8" w:rsidRDefault="001E64B8" w:rsidP="001E64B8">
      <w:pPr>
        <w:spacing w:after="0" w:line="276" w:lineRule="auto"/>
      </w:pPr>
      <w:r>
        <w:t xml:space="preserve">wages, and better opportunities for career growth. For businesses and the economy at </w:t>
      </w:r>
    </w:p>
    <w:p w14:paraId="3B4E8755" w14:textId="77777777" w:rsidR="001E64B8" w:rsidRDefault="001E64B8" w:rsidP="001E64B8">
      <w:pPr>
        <w:spacing w:after="0" w:line="276" w:lineRule="auto"/>
      </w:pPr>
      <w:r>
        <w:t xml:space="preserve">large, support for job training regardless of gender can potentially enlarge the job </w:t>
      </w:r>
    </w:p>
    <w:p w14:paraId="4EAA955B" w14:textId="77777777" w:rsidR="001E64B8" w:rsidRDefault="001E64B8" w:rsidP="001E64B8">
      <w:pPr>
        <w:spacing w:after="0" w:line="276" w:lineRule="auto"/>
      </w:pPr>
      <w:r>
        <w:t>applicant pool and ensure that more positions in high-growth career fields get filled.</w:t>
      </w:r>
    </w:p>
    <w:p w14:paraId="7A5A0DED" w14:textId="77777777" w:rsidR="001E64B8" w:rsidRDefault="001E64B8" w:rsidP="001E64B8">
      <w:pPr>
        <w:spacing w:after="0" w:line="276" w:lineRule="auto"/>
      </w:pPr>
    </w:p>
    <w:p w14:paraId="013096DC" w14:textId="77777777" w:rsidR="001E64B8" w:rsidRDefault="001E64B8" w:rsidP="001E64B8">
      <w:pPr>
        <w:spacing w:after="0" w:line="276" w:lineRule="auto"/>
      </w:pPr>
      <w:r>
        <w:t xml:space="preserve">To measure progress towards this goal, states track the percentages of CTE </w:t>
      </w:r>
    </w:p>
    <w:p w14:paraId="40181E62" w14:textId="77777777" w:rsidR="001E64B8" w:rsidRDefault="001E64B8" w:rsidP="001E64B8">
      <w:pPr>
        <w:spacing w:after="0" w:line="276" w:lineRule="auto"/>
      </w:pPr>
      <w:r>
        <w:t xml:space="preserve">concentrators in CTE programs of study that lead to nontraditional fields as a core </w:t>
      </w:r>
    </w:p>
    <w:p w14:paraId="785272BC" w14:textId="77777777" w:rsidR="001E64B8" w:rsidRDefault="001E64B8" w:rsidP="001E64B8">
      <w:pPr>
        <w:spacing w:after="0" w:line="276" w:lineRule="auto"/>
      </w:pPr>
      <w:r>
        <w:t xml:space="preserve">indicator of performance. Each state must decide how to define nontraditional programs </w:t>
      </w:r>
    </w:p>
    <w:p w14:paraId="0E089980" w14:textId="77777777" w:rsidR="001E64B8" w:rsidRDefault="001E64B8" w:rsidP="001E64B8">
      <w:pPr>
        <w:spacing w:after="0" w:line="276" w:lineRule="auto"/>
      </w:pPr>
      <w:r>
        <w:t xml:space="preserve">of study using either the U.S. Department of Education’s Nontraditional Occupations </w:t>
      </w:r>
    </w:p>
    <w:p w14:paraId="7AF57912" w14:textId="77777777" w:rsidR="001E64B8" w:rsidRDefault="001E64B8" w:rsidP="001E64B8">
      <w:pPr>
        <w:spacing w:after="0" w:line="276" w:lineRule="auto"/>
      </w:pPr>
      <w:r>
        <w:t xml:space="preserve">Crosswalk or their own state-specific approach to linking CTE programs or courses to </w:t>
      </w:r>
    </w:p>
    <w:p w14:paraId="3632A2DF" w14:textId="77777777" w:rsidR="001E64B8" w:rsidRDefault="001E64B8" w:rsidP="001E64B8">
      <w:pPr>
        <w:spacing w:after="0" w:line="276" w:lineRule="auto"/>
      </w:pPr>
      <w:r>
        <w:t>occupational gender composition.</w:t>
      </w:r>
    </w:p>
    <w:p w14:paraId="6CC8F9B9" w14:textId="77777777" w:rsidR="001E64B8" w:rsidRDefault="001E64B8" w:rsidP="001E64B8">
      <w:pPr>
        <w:spacing w:after="0" w:line="276" w:lineRule="auto"/>
      </w:pPr>
    </w:p>
    <w:p w14:paraId="4F9F1E40" w14:textId="77777777" w:rsidR="001E64B8" w:rsidRDefault="001E64B8" w:rsidP="001E64B8">
      <w:pPr>
        <w:spacing w:after="0" w:line="276" w:lineRule="auto"/>
      </w:pPr>
      <w:r>
        <w:t xml:space="preserve">In 2025, the Virginia Department of Education’s Office of Career and Technical </w:t>
      </w:r>
    </w:p>
    <w:p w14:paraId="265863E7" w14:textId="77777777" w:rsidR="001E64B8" w:rsidRDefault="001E64B8" w:rsidP="001E64B8">
      <w:pPr>
        <w:spacing w:after="0" w:line="276" w:lineRule="auto"/>
      </w:pPr>
      <w:r>
        <w:t xml:space="preserve">Education, in collaboration with the Trailblazers program at the University of Virginia’s </w:t>
      </w:r>
    </w:p>
    <w:p w14:paraId="27FD68EA" w14:textId="77777777" w:rsidR="001E64B8" w:rsidRDefault="001E64B8" w:rsidP="001E64B8">
      <w:pPr>
        <w:spacing w:after="0" w:line="276" w:lineRule="auto"/>
      </w:pPr>
      <w:r>
        <w:t xml:space="preserve">Weldon Cooper Center for Public Service, changed the way secondary CTE courses in </w:t>
      </w:r>
    </w:p>
    <w:p w14:paraId="3FAEA43C" w14:textId="77777777" w:rsidR="001E64B8" w:rsidRDefault="001E64B8" w:rsidP="001E64B8">
      <w:pPr>
        <w:spacing w:after="0" w:line="276" w:lineRule="auto"/>
      </w:pPr>
      <w:r>
        <w:t xml:space="preserve">Virginia are classified as nontraditional by gender. For classification purposes, the new </w:t>
      </w:r>
    </w:p>
    <w:p w14:paraId="29DF79B9" w14:textId="77777777" w:rsidR="001E64B8" w:rsidRDefault="001E64B8" w:rsidP="001E64B8">
      <w:pPr>
        <w:spacing w:after="0" w:line="276" w:lineRule="auto"/>
      </w:pPr>
      <w:r>
        <w:t xml:space="preserve">method equates “CTE programs” with CTE career “subclusters” in the new CTE Career </w:t>
      </w:r>
    </w:p>
    <w:p w14:paraId="7D4D8592" w14:textId="77777777" w:rsidR="001E64B8" w:rsidRDefault="001E64B8" w:rsidP="001E64B8">
      <w:pPr>
        <w:spacing w:after="0" w:line="276" w:lineRule="auto"/>
      </w:pPr>
      <w:r>
        <w:t xml:space="preserve">Clusters® framework. “Subclusters” are career areas within broader industry sectors </w:t>
      </w:r>
    </w:p>
    <w:p w14:paraId="220A2A4D" w14:textId="77777777" w:rsidR="001E64B8" w:rsidRDefault="001E64B8" w:rsidP="001E64B8">
      <w:pPr>
        <w:spacing w:after="0" w:line="276" w:lineRule="auto"/>
      </w:pPr>
      <w:r>
        <w:t xml:space="preserve">(“clusters”) that require similar skills (e.g., the Software Solutions subcluster within the </w:t>
      </w:r>
    </w:p>
    <w:p w14:paraId="7B0593FA" w14:textId="77777777" w:rsidR="001E64B8" w:rsidRDefault="001E64B8" w:rsidP="001E64B8">
      <w:pPr>
        <w:spacing w:after="0" w:line="276" w:lineRule="auto"/>
      </w:pPr>
      <w:r>
        <w:t xml:space="preserve">Digital Technology cluster). Occupations associated with each subcluster are grouped </w:t>
      </w:r>
    </w:p>
    <w:p w14:paraId="200ACD04" w14:textId="77777777" w:rsidR="001E64B8" w:rsidRDefault="001E64B8" w:rsidP="001E64B8">
      <w:pPr>
        <w:spacing w:after="0" w:line="276" w:lineRule="auto"/>
      </w:pPr>
      <w:r>
        <w:t>Virginia’s Method for Defining Nontraditional Secondary CTE Courses 2</w:t>
      </w:r>
    </w:p>
    <w:p w14:paraId="5967DB35" w14:textId="77777777" w:rsidR="001E64B8" w:rsidRDefault="001E64B8" w:rsidP="001E64B8">
      <w:pPr>
        <w:spacing w:after="0" w:line="276" w:lineRule="auto"/>
      </w:pPr>
      <w:r>
        <w:lastRenderedPageBreak/>
        <w:t xml:space="preserve">together for gender composition analysis to determine whether a subcluster should be </w:t>
      </w:r>
    </w:p>
    <w:p w14:paraId="00516869" w14:textId="77777777" w:rsidR="001E64B8" w:rsidRDefault="001E64B8" w:rsidP="001E64B8">
      <w:pPr>
        <w:spacing w:after="0" w:line="276" w:lineRule="auto"/>
      </w:pPr>
      <w:r>
        <w:t xml:space="preserve">classified as “nontraditional” (either males or females make up less than 25% of those </w:t>
      </w:r>
    </w:p>
    <w:p w14:paraId="4E1F23B0" w14:textId="77777777" w:rsidR="001E64B8" w:rsidRDefault="001E64B8" w:rsidP="001E64B8">
      <w:pPr>
        <w:spacing w:after="0" w:line="276" w:lineRule="auto"/>
      </w:pPr>
      <w:r>
        <w:t xml:space="preserve">employed in occupations associated with the subcluster) or as “gender-neutral” (neither </w:t>
      </w:r>
    </w:p>
    <w:p w14:paraId="1BA902D7" w14:textId="77777777" w:rsidR="001E64B8" w:rsidRDefault="001E64B8" w:rsidP="001E64B8">
      <w:pPr>
        <w:spacing w:after="0" w:line="276" w:lineRule="auto"/>
      </w:pPr>
      <w:r>
        <w:t xml:space="preserve">males nor females make up less than 25% of those employed in occupations associated </w:t>
      </w:r>
    </w:p>
    <w:p w14:paraId="3DDEA32F" w14:textId="77777777" w:rsidR="001E64B8" w:rsidRDefault="001E64B8" w:rsidP="001E64B8">
      <w:pPr>
        <w:spacing w:after="0" w:line="276" w:lineRule="auto"/>
      </w:pPr>
      <w:r>
        <w:t xml:space="preserve">with the subcluster). Each subcluster’s gender-based classification is then applied to all </w:t>
      </w:r>
    </w:p>
    <w:p w14:paraId="21271AF1" w14:textId="77777777" w:rsidR="001E64B8" w:rsidRDefault="001E64B8" w:rsidP="001E64B8">
      <w:pPr>
        <w:spacing w:after="0" w:line="276" w:lineRule="auto"/>
      </w:pPr>
      <w:r>
        <w:t xml:space="preserve">CTE courses associated with the subcluster. Classification exceptions are made for </w:t>
      </w:r>
    </w:p>
    <w:p w14:paraId="7441535C" w14:textId="77777777" w:rsidR="001E64B8" w:rsidRDefault="001E64B8" w:rsidP="001E64B8">
      <w:pPr>
        <w:spacing w:after="0" w:line="276" w:lineRule="auto"/>
      </w:pPr>
      <w:r>
        <w:t xml:space="preserve">individual CTE courses with clear associations to occupations having a gender </w:t>
      </w:r>
    </w:p>
    <w:p w14:paraId="0927D907" w14:textId="77777777" w:rsidR="001E64B8" w:rsidRDefault="001E64B8" w:rsidP="001E64B8">
      <w:pPr>
        <w:spacing w:after="0" w:line="276" w:lineRule="auto"/>
      </w:pPr>
      <w:r>
        <w:t xml:space="preserve">composition that is significantly different from that of the subcluster overall. </w:t>
      </w:r>
    </w:p>
    <w:p w14:paraId="10F4332C" w14:textId="77777777" w:rsidR="001A36F0" w:rsidRDefault="001A36F0" w:rsidP="001E64B8">
      <w:pPr>
        <w:spacing w:after="0" w:line="276" w:lineRule="auto"/>
      </w:pPr>
    </w:p>
    <w:p w14:paraId="58BD8489" w14:textId="703DE12B" w:rsidR="001E64B8" w:rsidRDefault="001E64B8" w:rsidP="001E64B8">
      <w:pPr>
        <w:spacing w:after="0" w:line="276" w:lineRule="auto"/>
      </w:pPr>
      <w:r>
        <w:t xml:space="preserve">This new method makes it easier to classify introductory courses that cover a wide array </w:t>
      </w:r>
    </w:p>
    <w:p w14:paraId="79924EF0" w14:textId="77777777" w:rsidR="001E64B8" w:rsidRDefault="001E64B8" w:rsidP="001E64B8">
      <w:pPr>
        <w:spacing w:after="0" w:line="276" w:lineRule="auto"/>
      </w:pPr>
      <w:r>
        <w:t xml:space="preserve">of topics since such courses are typically associated with numerous occupations. It also </w:t>
      </w:r>
    </w:p>
    <w:p w14:paraId="7CEB3EDA" w14:textId="77777777" w:rsidR="001E64B8" w:rsidRDefault="001E64B8" w:rsidP="001E64B8">
      <w:pPr>
        <w:spacing w:after="0" w:line="276" w:lineRule="auto"/>
      </w:pPr>
      <w:r>
        <w:t xml:space="preserve">enhances classification accuracy by distributing jobs within occupations across multiple </w:t>
      </w:r>
    </w:p>
    <w:p w14:paraId="67D72029" w14:textId="77777777" w:rsidR="001E64B8" w:rsidRDefault="001E64B8" w:rsidP="001E64B8">
      <w:pPr>
        <w:spacing w:after="0" w:line="276" w:lineRule="auto"/>
      </w:pPr>
      <w:r>
        <w:t xml:space="preserve">related subclusters for gender composition analysis in proportion to employment within </w:t>
      </w:r>
    </w:p>
    <w:p w14:paraId="42F9C58C" w14:textId="77777777" w:rsidR="001E64B8" w:rsidRDefault="001E64B8" w:rsidP="001E64B8">
      <w:pPr>
        <w:spacing w:after="0" w:line="276" w:lineRule="auto"/>
      </w:pPr>
      <w:r>
        <w:t>the occupations across multiple industries.</w:t>
      </w:r>
    </w:p>
    <w:p w14:paraId="121E6500" w14:textId="77777777" w:rsidR="001E64B8" w:rsidRDefault="001E64B8" w:rsidP="001E64B8">
      <w:pPr>
        <w:spacing w:after="0" w:line="276" w:lineRule="auto"/>
      </w:pPr>
    </w:p>
    <w:p w14:paraId="031C60FB" w14:textId="77777777" w:rsidR="001E64B8" w:rsidRPr="001A36F0" w:rsidRDefault="001E64B8" w:rsidP="001E64B8">
      <w:pPr>
        <w:spacing w:after="0" w:line="276" w:lineRule="auto"/>
        <w:rPr>
          <w:b/>
          <w:bCs/>
        </w:rPr>
      </w:pPr>
      <w:r w:rsidRPr="001A36F0">
        <w:rPr>
          <w:b/>
          <w:bCs/>
        </w:rPr>
        <w:t>Method</w:t>
      </w:r>
    </w:p>
    <w:p w14:paraId="72C13DD8" w14:textId="77777777" w:rsidR="001E64B8" w:rsidRDefault="001E64B8" w:rsidP="001E64B8">
      <w:pPr>
        <w:spacing w:after="0" w:line="276" w:lineRule="auto"/>
      </w:pPr>
      <w:r>
        <w:t xml:space="preserve">In 2025, Virginia’s method of classifying secondary CTE courses as nontraditional by </w:t>
      </w:r>
    </w:p>
    <w:p w14:paraId="7A6E7E4E" w14:textId="77777777" w:rsidR="001E64B8" w:rsidRDefault="001E64B8" w:rsidP="001E64B8">
      <w:pPr>
        <w:spacing w:after="0" w:line="276" w:lineRule="auto"/>
      </w:pPr>
      <w:r>
        <w:t xml:space="preserve">gender involved performing a series of data crosswalks to link occupational gender </w:t>
      </w:r>
    </w:p>
    <w:p w14:paraId="7BF06A66" w14:textId="77777777" w:rsidR="001E64B8" w:rsidRDefault="001E64B8" w:rsidP="001E64B8">
      <w:pPr>
        <w:spacing w:after="0" w:line="276" w:lineRule="auto"/>
      </w:pPr>
      <w:r>
        <w:t xml:space="preserve">composition data from the Current Population Survey (CPS) to CTE career subclusters </w:t>
      </w:r>
    </w:p>
    <w:p w14:paraId="512EB2D4" w14:textId="77777777" w:rsidR="001E64B8" w:rsidRDefault="001E64B8" w:rsidP="001E64B8">
      <w:pPr>
        <w:spacing w:after="0" w:line="276" w:lineRule="auto"/>
      </w:pPr>
      <w:r>
        <w:t xml:space="preserve">and the CTE courses associated with each subcluster. </w:t>
      </w:r>
    </w:p>
    <w:p w14:paraId="3C177F5E" w14:textId="77777777" w:rsidR="00D84A35" w:rsidRDefault="00D84A35" w:rsidP="001E64B8">
      <w:pPr>
        <w:spacing w:after="0" w:line="276" w:lineRule="auto"/>
      </w:pPr>
    </w:p>
    <w:p w14:paraId="078F5EE3" w14:textId="0E06F5FC" w:rsidR="001E64B8" w:rsidRDefault="001E64B8" w:rsidP="001E64B8">
      <w:pPr>
        <w:spacing w:after="0" w:line="276" w:lineRule="auto"/>
      </w:pPr>
      <w:r>
        <w:t xml:space="preserve">Given that the entire CTE Career Clusters® framework was revised in 2024, the first step </w:t>
      </w:r>
    </w:p>
    <w:p w14:paraId="2237E536" w14:textId="77777777" w:rsidR="001E64B8" w:rsidRDefault="001E64B8" w:rsidP="001E64B8">
      <w:pPr>
        <w:spacing w:after="0" w:line="276" w:lineRule="auto"/>
      </w:pPr>
      <w:r>
        <w:t>of the classification process involved assigning each secondary CTE course in Virginia to</w:t>
      </w:r>
    </w:p>
    <w:p w14:paraId="55610BAD" w14:textId="77777777" w:rsidR="001E64B8" w:rsidRDefault="001E64B8" w:rsidP="001E64B8">
      <w:pPr>
        <w:spacing w:after="0" w:line="276" w:lineRule="auto"/>
      </w:pPr>
      <w:r>
        <w:t xml:space="preserve">the single most appropriate career subcluster within the new framework. Trailblazers </w:t>
      </w:r>
    </w:p>
    <w:p w14:paraId="0709DB7F" w14:textId="77777777" w:rsidR="001E64B8" w:rsidRDefault="001E64B8" w:rsidP="001E64B8">
      <w:pPr>
        <w:spacing w:after="0" w:line="276" w:lineRule="auto"/>
      </w:pPr>
      <w:r>
        <w:t xml:space="preserve">program analysts and VDOE administrators and subject matter specialists conducted </w:t>
      </w:r>
    </w:p>
    <w:p w14:paraId="20363CFA" w14:textId="77777777" w:rsidR="001E64B8" w:rsidRDefault="001E64B8" w:rsidP="001E64B8">
      <w:pPr>
        <w:spacing w:after="0" w:line="276" w:lineRule="auto"/>
      </w:pPr>
      <w:r>
        <w:t xml:space="preserve">separate subjective reviews of CTE course content and new subcluster definitions to </w:t>
      </w:r>
    </w:p>
    <w:p w14:paraId="5BCE123E" w14:textId="77777777" w:rsidR="001E64B8" w:rsidRDefault="001E64B8" w:rsidP="001E64B8">
      <w:pPr>
        <w:spacing w:after="0" w:line="276" w:lineRule="auto"/>
      </w:pPr>
      <w:r>
        <w:t xml:space="preserve">assess course/subcluster alignment. Any discrepancies in course assignments based on </w:t>
      </w:r>
    </w:p>
    <w:p w14:paraId="0B9EC30C" w14:textId="77777777" w:rsidR="001E64B8" w:rsidRDefault="001E64B8" w:rsidP="001E64B8">
      <w:pPr>
        <w:spacing w:after="0" w:line="276" w:lineRule="auto"/>
      </w:pPr>
      <w:r>
        <w:t xml:space="preserve">these separate reviews were resolved collaboratively. </w:t>
      </w:r>
    </w:p>
    <w:p w14:paraId="394CC0DF" w14:textId="77777777" w:rsidR="00D84A35" w:rsidRDefault="00D84A35" w:rsidP="001E64B8">
      <w:pPr>
        <w:spacing w:after="0" w:line="276" w:lineRule="auto"/>
      </w:pPr>
    </w:p>
    <w:p w14:paraId="64AD53C3" w14:textId="6C7E032D" w:rsidR="001E64B8" w:rsidRDefault="001E64B8" w:rsidP="001E64B8">
      <w:pPr>
        <w:spacing w:after="0" w:line="276" w:lineRule="auto"/>
      </w:pPr>
      <w:r>
        <w:t xml:space="preserve">CTE career subclusters were also linked to Standard Occupational Classification (SOC) </w:t>
      </w:r>
    </w:p>
    <w:p w14:paraId="687346B7" w14:textId="77777777" w:rsidR="001E64B8" w:rsidRDefault="001E64B8" w:rsidP="001E64B8">
      <w:pPr>
        <w:spacing w:after="0" w:line="276" w:lineRule="auto"/>
      </w:pPr>
      <w:r>
        <w:t xml:space="preserve">system occupations in a nonduplicated manner (one-to-one relationship) using a </w:t>
      </w:r>
    </w:p>
    <w:p w14:paraId="296CC362" w14:textId="77777777" w:rsidR="001E64B8" w:rsidRDefault="001E64B8" w:rsidP="001E64B8">
      <w:pPr>
        <w:spacing w:after="0" w:line="276" w:lineRule="auto"/>
      </w:pPr>
      <w:r>
        <w:t xml:space="preserve">database developed by the Trailblazers program. Although the SOC system is the most </w:t>
      </w:r>
    </w:p>
    <w:p w14:paraId="4C904577" w14:textId="77777777" w:rsidR="001E64B8" w:rsidRDefault="001E64B8" w:rsidP="001E64B8">
      <w:pPr>
        <w:spacing w:after="0" w:line="276" w:lineRule="auto"/>
      </w:pPr>
      <w:r>
        <w:t xml:space="preserve">commonly used standard for defining occupations, information regarding the gender </w:t>
      </w:r>
    </w:p>
    <w:p w14:paraId="55C5CF47" w14:textId="77777777" w:rsidR="001E64B8" w:rsidRDefault="001E64B8" w:rsidP="001E64B8">
      <w:pPr>
        <w:spacing w:after="0" w:line="276" w:lineRule="auto"/>
      </w:pPr>
      <w:r>
        <w:t xml:space="preserve">composition of occupations provided by the U.S. Bureau of Labor Statistics (BLS) in Table </w:t>
      </w:r>
    </w:p>
    <w:p w14:paraId="20ADC9F6" w14:textId="77777777" w:rsidR="001E64B8" w:rsidRDefault="001E64B8" w:rsidP="001E64B8">
      <w:pPr>
        <w:spacing w:after="0" w:line="276" w:lineRule="auto"/>
      </w:pPr>
      <w:r>
        <w:t xml:space="preserve">11 (Employed Persons by Detailed Occupation, Sex, Race, and Hispanic or Latino </w:t>
      </w:r>
    </w:p>
    <w:p w14:paraId="46299CD0" w14:textId="77777777" w:rsidR="001E64B8" w:rsidRDefault="001E64B8" w:rsidP="001E64B8">
      <w:pPr>
        <w:spacing w:after="0" w:line="276" w:lineRule="auto"/>
      </w:pPr>
      <w:r>
        <w:t xml:space="preserve">Ethnicity) is based on CPS data, which uses an occupational classification system that is </w:t>
      </w:r>
    </w:p>
    <w:p w14:paraId="4571A51D" w14:textId="77777777" w:rsidR="001E64B8" w:rsidRDefault="001E64B8" w:rsidP="001E64B8">
      <w:pPr>
        <w:spacing w:after="0" w:line="276" w:lineRule="auto"/>
      </w:pPr>
      <w:r>
        <w:t xml:space="preserve">slightly different from the SOC system. </w:t>
      </w:r>
      <w:proofErr w:type="gramStart"/>
      <w:r>
        <w:t>In order to</w:t>
      </w:r>
      <w:proofErr w:type="gramEnd"/>
      <w:r>
        <w:t xml:space="preserve"> link SOC system occupations to CPS </w:t>
      </w:r>
    </w:p>
    <w:p w14:paraId="33D8234D" w14:textId="77777777" w:rsidR="001E64B8" w:rsidRDefault="001E64B8" w:rsidP="001E64B8">
      <w:pPr>
        <w:spacing w:after="0" w:line="276" w:lineRule="auto"/>
      </w:pPr>
      <w:r>
        <w:t>Virginia’s Method for Defining Nontraditional Secondary CTE Courses 3</w:t>
      </w:r>
    </w:p>
    <w:p w14:paraId="05CF0BAE" w14:textId="77777777" w:rsidR="001E64B8" w:rsidRDefault="001E64B8" w:rsidP="001E64B8">
      <w:pPr>
        <w:spacing w:after="0" w:line="276" w:lineRule="auto"/>
      </w:pPr>
      <w:r>
        <w:lastRenderedPageBreak/>
        <w:t xml:space="preserve">occupational gender composition data, it was first necessary to map SOC occupations to </w:t>
      </w:r>
    </w:p>
    <w:p w14:paraId="72FFC95B" w14:textId="77777777" w:rsidR="001E64B8" w:rsidRDefault="001E64B8" w:rsidP="001E64B8">
      <w:pPr>
        <w:spacing w:after="0" w:line="276" w:lineRule="auto"/>
      </w:pPr>
      <w:r>
        <w:t>CPS occupations using the BLS National Employment Matrix / SOC to CPS Crosswalk.</w:t>
      </w:r>
    </w:p>
    <w:p w14:paraId="3E1D07A1" w14:textId="77777777" w:rsidR="00D84A35" w:rsidRDefault="00D84A35" w:rsidP="001E64B8">
      <w:pPr>
        <w:spacing w:after="0" w:line="276" w:lineRule="auto"/>
      </w:pPr>
    </w:p>
    <w:p w14:paraId="59DC9C45" w14:textId="508FF7AA" w:rsidR="001E64B8" w:rsidRDefault="001E64B8" w:rsidP="001E64B8">
      <w:pPr>
        <w:spacing w:after="0" w:line="276" w:lineRule="auto"/>
      </w:pPr>
      <w:r>
        <w:t xml:space="preserve">In many cases, a single CPS occupation may be linked to multiple SOC occupations, </w:t>
      </w:r>
    </w:p>
    <w:p w14:paraId="7F63F8C6" w14:textId="77777777" w:rsidR="001E64B8" w:rsidRDefault="001E64B8" w:rsidP="001E64B8">
      <w:pPr>
        <w:spacing w:after="0" w:line="276" w:lineRule="auto"/>
      </w:pPr>
      <w:r>
        <w:t xml:space="preserve">which may be linked to more than one CTE career subcluster. In these cases, BLS 2024 </w:t>
      </w:r>
    </w:p>
    <w:p w14:paraId="394BD1D8" w14:textId="77777777" w:rsidR="001E64B8" w:rsidRDefault="001E64B8" w:rsidP="001E64B8">
      <w:pPr>
        <w:spacing w:after="0" w:line="276" w:lineRule="auto"/>
      </w:pPr>
      <w:r>
        <w:t xml:space="preserve">occupational employment estimates were used to determine what proportion of total </w:t>
      </w:r>
    </w:p>
    <w:p w14:paraId="2CBE2682" w14:textId="77777777" w:rsidR="001E64B8" w:rsidRDefault="001E64B8" w:rsidP="001E64B8">
      <w:pPr>
        <w:spacing w:after="0" w:line="276" w:lineRule="auto"/>
      </w:pPr>
      <w:r>
        <w:t xml:space="preserve">employment in each CPS occupation should be allotted to each associated subcluster </w:t>
      </w:r>
    </w:p>
    <w:p w14:paraId="15D8174E" w14:textId="77777777" w:rsidR="001E64B8" w:rsidRDefault="001E64B8" w:rsidP="001E64B8">
      <w:pPr>
        <w:spacing w:after="0" w:line="276" w:lineRule="auto"/>
      </w:pPr>
      <w:r>
        <w:t xml:space="preserve">based on the number of people employed in related SOC occupations. Because the CPS </w:t>
      </w:r>
    </w:p>
    <w:p w14:paraId="1E02C927" w14:textId="77777777" w:rsidR="001E64B8" w:rsidRDefault="001E64B8" w:rsidP="001E64B8">
      <w:pPr>
        <w:spacing w:after="0" w:line="276" w:lineRule="auto"/>
      </w:pPr>
      <w:r>
        <w:t xml:space="preserve">and BLS employment estimates are developed using different methodological </w:t>
      </w:r>
    </w:p>
    <w:p w14:paraId="6BEBB163" w14:textId="77777777" w:rsidR="001E64B8" w:rsidRDefault="001E64B8" w:rsidP="001E64B8">
      <w:pPr>
        <w:spacing w:after="0" w:line="276" w:lineRule="auto"/>
      </w:pPr>
      <w:r>
        <w:t xml:space="preserve">approaches, BLS employment estimates for a given occupation cannot simply be </w:t>
      </w:r>
    </w:p>
    <w:p w14:paraId="4C010319" w14:textId="77777777" w:rsidR="001E64B8" w:rsidRDefault="001E64B8" w:rsidP="001E64B8">
      <w:pPr>
        <w:spacing w:after="0" w:line="276" w:lineRule="auto"/>
      </w:pPr>
      <w:r>
        <w:t xml:space="preserve">substituted for CPS employment estimates for the same occupations—proportions must </w:t>
      </w:r>
    </w:p>
    <w:p w14:paraId="5DE0B1B8" w14:textId="77777777" w:rsidR="001E64B8" w:rsidRDefault="001E64B8" w:rsidP="001E64B8">
      <w:pPr>
        <w:spacing w:after="0" w:line="276" w:lineRule="auto"/>
      </w:pPr>
      <w:r>
        <w:t xml:space="preserve">be applied instead. </w:t>
      </w:r>
    </w:p>
    <w:p w14:paraId="5FFE802B" w14:textId="77777777" w:rsidR="00D84A35" w:rsidRDefault="00D84A35" w:rsidP="001E64B8">
      <w:pPr>
        <w:spacing w:after="0" w:line="276" w:lineRule="auto"/>
      </w:pPr>
    </w:p>
    <w:p w14:paraId="100EBF4E" w14:textId="7ABA8147" w:rsidR="001E64B8" w:rsidRDefault="001E64B8" w:rsidP="001E64B8">
      <w:pPr>
        <w:spacing w:after="0" w:line="276" w:lineRule="auto"/>
      </w:pPr>
      <w:r>
        <w:t xml:space="preserve">In other situations, an occupation may be the same in the SOC and CPS systems, but the </w:t>
      </w:r>
    </w:p>
    <w:p w14:paraId="20CDD68D" w14:textId="77777777" w:rsidR="001E64B8" w:rsidRDefault="001E64B8" w:rsidP="001E64B8">
      <w:pPr>
        <w:spacing w:after="0" w:line="276" w:lineRule="auto"/>
      </w:pPr>
      <w:r>
        <w:t xml:space="preserve">skills it requires are associated with more than one CTE career subcluster. In these cases, </w:t>
      </w:r>
    </w:p>
    <w:p w14:paraId="13AC9014" w14:textId="77777777" w:rsidR="001E64B8" w:rsidRDefault="001E64B8" w:rsidP="001E64B8">
      <w:pPr>
        <w:spacing w:after="0" w:line="276" w:lineRule="auto"/>
      </w:pPr>
      <w:r>
        <w:t xml:space="preserve">the BLS Industry-Occupation Matrix was consulted to determine how jobs in the </w:t>
      </w:r>
    </w:p>
    <w:p w14:paraId="5E201339" w14:textId="77777777" w:rsidR="001E64B8" w:rsidRDefault="001E64B8" w:rsidP="001E64B8">
      <w:pPr>
        <w:spacing w:after="0" w:line="276" w:lineRule="auto"/>
      </w:pPr>
      <w:r>
        <w:t xml:space="preserve">occupation are distributed across different industries. The industry-based proportions of </w:t>
      </w:r>
    </w:p>
    <w:p w14:paraId="0F8E683F" w14:textId="77777777" w:rsidR="001E64B8" w:rsidRDefault="001E64B8" w:rsidP="001E64B8">
      <w:pPr>
        <w:spacing w:after="0" w:line="276" w:lineRule="auto"/>
      </w:pPr>
      <w:r>
        <w:t xml:space="preserve">an occupation’s employment were then allotted to different subclusters based on </w:t>
      </w:r>
    </w:p>
    <w:p w14:paraId="6541F9FF" w14:textId="77777777" w:rsidR="001E64B8" w:rsidRDefault="001E64B8" w:rsidP="001E64B8">
      <w:pPr>
        <w:spacing w:after="0" w:line="276" w:lineRule="auto"/>
      </w:pPr>
      <w:r>
        <w:t>similarities between industries and subclusters.</w:t>
      </w:r>
    </w:p>
    <w:p w14:paraId="161E8B4B" w14:textId="77777777" w:rsidR="00D84A35" w:rsidRDefault="00D84A35" w:rsidP="001E64B8">
      <w:pPr>
        <w:spacing w:after="0" w:line="276" w:lineRule="auto"/>
      </w:pPr>
    </w:p>
    <w:p w14:paraId="2F20A5EC" w14:textId="4187E9BB" w:rsidR="001E64B8" w:rsidRDefault="001E64B8" w:rsidP="001E64B8">
      <w:pPr>
        <w:spacing w:after="0" w:line="276" w:lineRule="auto"/>
      </w:pPr>
      <w:r>
        <w:t xml:space="preserve">More than one third of the occupations in BLS Table 11 are missing occupational gender </w:t>
      </w:r>
    </w:p>
    <w:p w14:paraId="128A12FF" w14:textId="77777777" w:rsidR="001E64B8" w:rsidRDefault="001E64B8" w:rsidP="001E64B8">
      <w:pPr>
        <w:spacing w:after="0" w:line="276" w:lineRule="auto"/>
      </w:pPr>
      <w:r>
        <w:t xml:space="preserve">composition data. Another data resource that supplies this information is the 2020 </w:t>
      </w:r>
    </w:p>
    <w:p w14:paraId="56078652" w14:textId="77777777" w:rsidR="001E64B8" w:rsidRDefault="001E64B8" w:rsidP="001E64B8">
      <w:pPr>
        <w:spacing w:after="0" w:line="276" w:lineRule="auto"/>
      </w:pPr>
      <w:r>
        <w:t xml:space="preserve">Nontraditional Occupations Crosswalk developed by the U.S. Department of Education’s </w:t>
      </w:r>
    </w:p>
    <w:p w14:paraId="79B8CEC7" w14:textId="77777777" w:rsidR="001E64B8" w:rsidRDefault="001E64B8" w:rsidP="001E64B8">
      <w:pPr>
        <w:spacing w:after="0" w:line="276" w:lineRule="auto"/>
      </w:pPr>
      <w:r>
        <w:t xml:space="preserve">Office of Career, Technical, and Adult Education. The crosswalk does not include all CPS </w:t>
      </w:r>
    </w:p>
    <w:p w14:paraId="41E1A413" w14:textId="77777777" w:rsidR="001E64B8" w:rsidRDefault="001E64B8" w:rsidP="001E64B8">
      <w:pPr>
        <w:spacing w:after="0" w:line="276" w:lineRule="auto"/>
      </w:pPr>
      <w:r>
        <w:t xml:space="preserve">occupations, and its data is not as current as the data in BLS Table 11 (2019 versus 2024). </w:t>
      </w:r>
    </w:p>
    <w:p w14:paraId="08604971" w14:textId="77777777" w:rsidR="001E64B8" w:rsidRDefault="001E64B8" w:rsidP="001E64B8">
      <w:pPr>
        <w:spacing w:after="0" w:line="276" w:lineRule="auto"/>
      </w:pPr>
      <w:r>
        <w:t xml:space="preserve">Despite these shortcomings, in cases where a CPS occupation missing gender </w:t>
      </w:r>
    </w:p>
    <w:p w14:paraId="70EE3409" w14:textId="77777777" w:rsidR="001E64B8" w:rsidRDefault="001E64B8" w:rsidP="001E64B8">
      <w:pPr>
        <w:spacing w:after="0" w:line="276" w:lineRule="auto"/>
      </w:pPr>
      <w:r>
        <w:t xml:space="preserve">composition data in BLS Table 11 was a clear match to an occupation displaying this </w:t>
      </w:r>
    </w:p>
    <w:p w14:paraId="7D4F421D" w14:textId="77777777" w:rsidR="001E64B8" w:rsidRDefault="001E64B8" w:rsidP="001E64B8">
      <w:pPr>
        <w:spacing w:after="0" w:line="276" w:lineRule="auto"/>
      </w:pPr>
      <w:r>
        <w:t xml:space="preserve">information in the 2020 Nontraditional Occupations Crosswalk, occupational gender </w:t>
      </w:r>
    </w:p>
    <w:p w14:paraId="64A854AF" w14:textId="77777777" w:rsidR="001E64B8" w:rsidRDefault="001E64B8" w:rsidP="001E64B8">
      <w:pPr>
        <w:spacing w:after="0" w:line="276" w:lineRule="auto"/>
      </w:pPr>
      <w:r>
        <w:t>composition data from the crosswalk was used.</w:t>
      </w:r>
    </w:p>
    <w:p w14:paraId="2378F6D3" w14:textId="77777777" w:rsidR="00D84A35" w:rsidRDefault="00D84A35" w:rsidP="001E64B8">
      <w:pPr>
        <w:spacing w:after="0" w:line="276" w:lineRule="auto"/>
      </w:pPr>
    </w:p>
    <w:p w14:paraId="28C5AB0C" w14:textId="2CD2865A" w:rsidR="001E64B8" w:rsidRDefault="001E64B8" w:rsidP="001E64B8">
      <w:pPr>
        <w:spacing w:after="0" w:line="276" w:lineRule="auto"/>
      </w:pPr>
      <w:r>
        <w:t xml:space="preserve">For each CPS occupation with gender composition data available, total employment and </w:t>
      </w:r>
    </w:p>
    <w:p w14:paraId="423FAD4C" w14:textId="77777777" w:rsidR="001E64B8" w:rsidRDefault="001E64B8" w:rsidP="001E64B8">
      <w:pPr>
        <w:spacing w:after="0" w:line="276" w:lineRule="auto"/>
      </w:pPr>
      <w:r>
        <w:t xml:space="preserve">employment by gender were calculated. These individual occupation totals were then </w:t>
      </w:r>
    </w:p>
    <w:p w14:paraId="1FE81075" w14:textId="77777777" w:rsidR="001E64B8" w:rsidRDefault="001E64B8" w:rsidP="001E64B8">
      <w:pPr>
        <w:spacing w:after="0" w:line="276" w:lineRule="auto"/>
      </w:pPr>
      <w:r>
        <w:t xml:space="preserve">added across occupations associated with each subcluster to obtain total employment </w:t>
      </w:r>
    </w:p>
    <w:p w14:paraId="24CC15CC" w14:textId="77777777" w:rsidR="001E64B8" w:rsidRDefault="001E64B8" w:rsidP="001E64B8">
      <w:pPr>
        <w:spacing w:after="0" w:line="276" w:lineRule="auto"/>
      </w:pPr>
      <w:r>
        <w:t xml:space="preserve">and employment by gender for each subcluster. The percent of employment by gender </w:t>
      </w:r>
    </w:p>
    <w:p w14:paraId="446CFCEA" w14:textId="77777777" w:rsidR="001E64B8" w:rsidRDefault="001E64B8" w:rsidP="001E64B8">
      <w:pPr>
        <w:spacing w:after="0" w:line="276" w:lineRule="auto"/>
      </w:pPr>
      <w:r>
        <w:t xml:space="preserve">within each subcluster was calculated by dividing each subcluster’s employment by </w:t>
      </w:r>
    </w:p>
    <w:p w14:paraId="242F73A0" w14:textId="77777777" w:rsidR="001E64B8" w:rsidRDefault="001E64B8" w:rsidP="001E64B8">
      <w:pPr>
        <w:spacing w:after="0" w:line="276" w:lineRule="auto"/>
      </w:pPr>
      <w:r>
        <w:t xml:space="preserve">gender by its total employment. Any subcluster having less than 25% female </w:t>
      </w:r>
    </w:p>
    <w:p w14:paraId="4B739A11" w14:textId="77777777" w:rsidR="001E64B8" w:rsidRDefault="001E64B8" w:rsidP="001E64B8">
      <w:pPr>
        <w:spacing w:after="0" w:line="276" w:lineRule="auto"/>
      </w:pPr>
      <w:r>
        <w:t xml:space="preserve">employment was classified as nontraditional for females, while any subcluster having </w:t>
      </w:r>
    </w:p>
    <w:p w14:paraId="2CEA48F5" w14:textId="77777777" w:rsidR="001E64B8" w:rsidRDefault="001E64B8" w:rsidP="001E64B8">
      <w:pPr>
        <w:spacing w:after="0" w:line="276" w:lineRule="auto"/>
      </w:pPr>
      <w:r>
        <w:t>Virginia’s Method for Defining Nontraditional Secondary CTE Courses 4</w:t>
      </w:r>
    </w:p>
    <w:p w14:paraId="32FD9D1F" w14:textId="77777777" w:rsidR="001E64B8" w:rsidRDefault="001E64B8" w:rsidP="001E64B8">
      <w:pPr>
        <w:spacing w:after="0" w:line="276" w:lineRule="auto"/>
      </w:pPr>
      <w:r>
        <w:lastRenderedPageBreak/>
        <w:t xml:space="preserve">less than 25% male employment was classified as nontraditional for males. These </w:t>
      </w:r>
    </w:p>
    <w:p w14:paraId="468177FE" w14:textId="77777777" w:rsidR="001E64B8" w:rsidRDefault="001E64B8" w:rsidP="001E64B8">
      <w:pPr>
        <w:spacing w:after="0" w:line="276" w:lineRule="auto"/>
      </w:pPr>
      <w:r>
        <w:t xml:space="preserve">subcluster classifications were then also applied to all CTE courses associated with each </w:t>
      </w:r>
    </w:p>
    <w:p w14:paraId="6FE51AEB" w14:textId="77777777" w:rsidR="001E64B8" w:rsidRDefault="001E64B8" w:rsidP="001E64B8">
      <w:pPr>
        <w:spacing w:after="0" w:line="276" w:lineRule="auto"/>
      </w:pPr>
      <w:r>
        <w:t>subcluster.</w:t>
      </w:r>
    </w:p>
    <w:p w14:paraId="43138F73" w14:textId="77777777" w:rsidR="00D84A35" w:rsidRDefault="00D84A35" w:rsidP="001E64B8">
      <w:pPr>
        <w:spacing w:after="0" w:line="276" w:lineRule="auto"/>
      </w:pPr>
    </w:p>
    <w:p w14:paraId="4346ACCC" w14:textId="72A1C51B" w:rsidR="001E64B8" w:rsidRDefault="001E64B8" w:rsidP="001E64B8">
      <w:pPr>
        <w:spacing w:after="0" w:line="276" w:lineRule="auto"/>
      </w:pPr>
      <w:r>
        <w:t xml:space="preserve">As a final step, all CTE course classifications were reviewed to identify situations where a </w:t>
      </w:r>
    </w:p>
    <w:p w14:paraId="095FD8AB" w14:textId="77777777" w:rsidR="001E64B8" w:rsidRDefault="001E64B8" w:rsidP="001E64B8">
      <w:pPr>
        <w:spacing w:after="0" w:line="276" w:lineRule="auto"/>
      </w:pPr>
      <w:r>
        <w:t xml:space="preserve">subcluster’s classification did not seem to be the appropriate classification for an </w:t>
      </w:r>
    </w:p>
    <w:p w14:paraId="3D07C155" w14:textId="77777777" w:rsidR="001E64B8" w:rsidRDefault="001E64B8" w:rsidP="001E64B8">
      <w:pPr>
        <w:spacing w:after="0" w:line="276" w:lineRule="auto"/>
      </w:pPr>
      <w:r>
        <w:t xml:space="preserve">individual CTE course within the subcluster. If the subject matter of a CTE course clearly </w:t>
      </w:r>
    </w:p>
    <w:p w14:paraId="6D90AFF8" w14:textId="77777777" w:rsidR="001E64B8" w:rsidRDefault="001E64B8" w:rsidP="001E64B8">
      <w:pPr>
        <w:spacing w:after="0" w:line="276" w:lineRule="auto"/>
      </w:pPr>
      <w:r>
        <w:t xml:space="preserve">matched a specific occupation or limited subset of occupations associated with a </w:t>
      </w:r>
    </w:p>
    <w:p w14:paraId="62BBB1FB" w14:textId="77777777" w:rsidR="001E64B8" w:rsidRDefault="001E64B8" w:rsidP="001E64B8">
      <w:pPr>
        <w:spacing w:after="0" w:line="276" w:lineRule="auto"/>
      </w:pPr>
      <w:r>
        <w:t xml:space="preserve">subcluster, and the occupation(s) had a gender composition that varied significantly </w:t>
      </w:r>
    </w:p>
    <w:p w14:paraId="55A7D1CF" w14:textId="77777777" w:rsidR="001E64B8" w:rsidRDefault="001E64B8" w:rsidP="001E64B8">
      <w:pPr>
        <w:spacing w:after="0" w:line="276" w:lineRule="auto"/>
      </w:pPr>
      <w:r>
        <w:t xml:space="preserve">(more than five percentage points) from the subcluster’s occupational gender </w:t>
      </w:r>
    </w:p>
    <w:p w14:paraId="2228D40F" w14:textId="77777777" w:rsidR="001E64B8" w:rsidRDefault="001E64B8" w:rsidP="001E64B8">
      <w:pPr>
        <w:spacing w:after="0" w:line="276" w:lineRule="auto"/>
      </w:pPr>
      <w:r>
        <w:t xml:space="preserve">composition overall, the classification of the individual CTE course was revised to more </w:t>
      </w:r>
    </w:p>
    <w:p w14:paraId="135BFF78" w14:textId="77777777" w:rsidR="001E64B8" w:rsidRDefault="001E64B8" w:rsidP="001E64B8">
      <w:pPr>
        <w:spacing w:after="0" w:line="276" w:lineRule="auto"/>
      </w:pPr>
      <w:r>
        <w:t>accurately reflect the gender composition of the occupation(s) associated with the</w:t>
      </w:r>
    </w:p>
    <w:p w14:paraId="4B646507" w14:textId="77777777" w:rsidR="001E64B8" w:rsidRDefault="001E64B8" w:rsidP="001E64B8">
      <w:pPr>
        <w:spacing w:after="0" w:line="276" w:lineRule="auto"/>
      </w:pPr>
      <w:r>
        <w:t>course.</w:t>
      </w:r>
    </w:p>
    <w:p w14:paraId="379FECC3" w14:textId="4860B4F4" w:rsidR="00D84A35" w:rsidRDefault="006F7560" w:rsidP="001E64B8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CD6E" wp14:editId="033B622E">
                <wp:simplePos x="0" y="0"/>
                <wp:positionH relativeFrom="column">
                  <wp:posOffset>85725</wp:posOffset>
                </wp:positionH>
                <wp:positionV relativeFrom="paragraph">
                  <wp:posOffset>200026</wp:posOffset>
                </wp:positionV>
                <wp:extent cx="5600700" cy="0"/>
                <wp:effectExtent l="0" t="0" r="0" b="0"/>
                <wp:wrapNone/>
                <wp:docPr id="11531059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5616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15.75pt" to="447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" strokecolor="#156082 [3204]" strokeweight="1.5pt">
                <v:stroke joinstyle="miter"/>
              </v:line>
            </w:pict>
          </mc:Fallback>
        </mc:AlternateContent>
      </w:r>
    </w:p>
    <w:p w14:paraId="08440DC5" w14:textId="77777777" w:rsidR="00D84A35" w:rsidRDefault="00D84A35" w:rsidP="001E64B8">
      <w:pPr>
        <w:spacing w:after="0" w:line="276" w:lineRule="auto"/>
      </w:pPr>
    </w:p>
    <w:p w14:paraId="65848D7D" w14:textId="0D4AC3BE" w:rsidR="001E64B8" w:rsidRDefault="001E64B8" w:rsidP="001E64B8">
      <w:pPr>
        <w:spacing w:after="0" w:line="276" w:lineRule="auto"/>
      </w:pPr>
      <w:r>
        <w:t xml:space="preserve">Any questions about the nontraditional CTE course classification process should be </w:t>
      </w:r>
    </w:p>
    <w:p w14:paraId="2E00A010" w14:textId="2934ED59" w:rsidR="001E64B8" w:rsidRDefault="001E64B8" w:rsidP="001E64B8">
      <w:pPr>
        <w:spacing w:after="0" w:line="276" w:lineRule="auto"/>
      </w:pPr>
      <w:r>
        <w:t>addressed to kathryn.crespin@virginia.edu</w:t>
      </w:r>
    </w:p>
    <w:sectPr w:rsidR="001E64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0BCF" w14:textId="77777777" w:rsidR="00A53F76" w:rsidRDefault="00A53F76" w:rsidP="00D84A35">
      <w:pPr>
        <w:spacing w:after="0" w:line="240" w:lineRule="auto"/>
      </w:pPr>
      <w:r>
        <w:separator/>
      </w:r>
    </w:p>
  </w:endnote>
  <w:endnote w:type="continuationSeparator" w:id="0">
    <w:p w14:paraId="35513ABA" w14:textId="77777777" w:rsidR="00A53F76" w:rsidRDefault="00A53F76" w:rsidP="00D8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F713" w14:textId="77777777" w:rsidR="00E1072F" w:rsidRDefault="00E10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8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11EC25" w14:textId="6CFEA53E" w:rsidR="00D84A35" w:rsidRDefault="00D84A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30ED8" w14:textId="7C8CAEA3" w:rsidR="00D84A35" w:rsidRDefault="00D84A35">
    <w:pPr>
      <w:pStyle w:val="Footer"/>
    </w:pPr>
    <w:r>
      <w:t>Virginia’s Method for Defining Nontraditional Secondary CTE Courses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6FD0" w14:textId="77777777" w:rsidR="00E1072F" w:rsidRDefault="00E10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AFBD" w14:textId="77777777" w:rsidR="00A53F76" w:rsidRDefault="00A53F76" w:rsidP="00D84A35">
      <w:pPr>
        <w:spacing w:after="0" w:line="240" w:lineRule="auto"/>
      </w:pPr>
      <w:r>
        <w:separator/>
      </w:r>
    </w:p>
  </w:footnote>
  <w:footnote w:type="continuationSeparator" w:id="0">
    <w:p w14:paraId="11C718A0" w14:textId="77777777" w:rsidR="00A53F76" w:rsidRDefault="00A53F76" w:rsidP="00D84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3AC2" w14:textId="77777777" w:rsidR="00E1072F" w:rsidRDefault="00E10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7C56" w14:textId="77777777" w:rsidR="00E1072F" w:rsidRDefault="00E107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B70A" w14:textId="77777777" w:rsidR="00E1072F" w:rsidRDefault="00E107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B8"/>
    <w:rsid w:val="000B5738"/>
    <w:rsid w:val="001A36F0"/>
    <w:rsid w:val="001E64B8"/>
    <w:rsid w:val="003867CA"/>
    <w:rsid w:val="004101B6"/>
    <w:rsid w:val="006F7560"/>
    <w:rsid w:val="00A53F76"/>
    <w:rsid w:val="00A662D9"/>
    <w:rsid w:val="00D84A35"/>
    <w:rsid w:val="00E1072F"/>
    <w:rsid w:val="00F5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6DD2A"/>
  <w15:chartTrackingRefBased/>
  <w15:docId w15:val="{5A121E93-A347-4878-9598-09ED74E5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4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4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A35"/>
  </w:style>
  <w:style w:type="paragraph" w:styleId="Footer">
    <w:name w:val="footer"/>
    <w:basedOn w:val="Normal"/>
    <w:link w:val="FooterChar"/>
    <w:uiPriority w:val="99"/>
    <w:unhideWhenUsed/>
    <w:rsid w:val="00D84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0A368-A5FE-4B48-A80A-A9EF57EC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1240</Words>
  <Characters>7382</Characters>
  <Application>Microsoft Office Word</Application>
  <DocSecurity>0</DocSecurity>
  <Lines>131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Hatch, William (DOE)</dc:creator>
  <cp:keywords/>
  <dc:description/>
  <cp:lastModifiedBy>Finley, Nikki (DOE)</cp:lastModifiedBy>
  <cp:revision>2</cp:revision>
  <cp:lastPrinted>2026-03-24T18:54:00Z</cp:lastPrinted>
  <dcterms:created xsi:type="dcterms:W3CDTF">2026-03-24T20:11:00Z</dcterms:created>
  <dcterms:modified xsi:type="dcterms:W3CDTF">2026-03-24T20:11:00Z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54c3124f-27ee-482d-87dc-303352f2e478</vt:lpwstr>
  </property>
</Properties>
</file>