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30B4" w14:textId="77777777" w:rsidR="00096A16" w:rsidRDefault="00A324F0">
      <w:pPr>
        <w:spacing w:line="240" w:lineRule="auto"/>
        <w:ind w:left="720"/>
        <w:rPr>
          <w:b/>
          <w:sz w:val="24"/>
          <w:szCs w:val="24"/>
        </w:rPr>
        <w:sectPr w:rsidR="00096A16">
          <w:headerReference w:type="default" r:id="rId8"/>
          <w:footerReference w:type="default" r:id="rId9"/>
          <w:headerReference w:type="first" r:id="rId10"/>
          <w:footerReference w:type="first" r:id="rId11"/>
          <w:pgSz w:w="15840" w:h="12240" w:orient="landscape"/>
          <w:pgMar w:top="1440" w:right="0" w:bottom="1440" w:left="0" w:header="720" w:footer="720" w:gutter="0"/>
          <w:pgNumType w:start="1"/>
          <w:cols w:space="720"/>
          <w:titlePg/>
        </w:sectPr>
      </w:pPr>
      <w:bookmarkStart w:id="0" w:name="_heading=h.gjdgxs" w:colFirst="0" w:colLast="0"/>
      <w:bookmarkEnd w:id="0"/>
      <w:r>
        <w:rPr>
          <w:b/>
          <w:sz w:val="24"/>
          <w:szCs w:val="24"/>
        </w:rPr>
        <w:t xml:space="preserve">   </w:t>
      </w:r>
    </w:p>
    <w:p w14:paraId="30BB5969" w14:textId="0103CEC4" w:rsidR="00096A16" w:rsidRDefault="00C321CE" w:rsidP="00C321CE">
      <w:pPr>
        <w:spacing w:line="240" w:lineRule="auto"/>
        <w:jc w:val="right"/>
        <w:rPr>
          <w:sz w:val="21"/>
          <w:szCs w:val="21"/>
        </w:rPr>
      </w:pPr>
      <w:r>
        <w:rPr>
          <w:sz w:val="21"/>
          <w:szCs w:val="21"/>
        </w:rPr>
        <w:t>Attachment A</w:t>
      </w:r>
    </w:p>
    <w:p w14:paraId="0A1FD952" w14:textId="5C50F2FE" w:rsidR="00C321CE" w:rsidRDefault="00C321CE" w:rsidP="00C321CE">
      <w:pPr>
        <w:spacing w:line="240" w:lineRule="auto"/>
        <w:jc w:val="right"/>
        <w:rPr>
          <w:sz w:val="21"/>
          <w:szCs w:val="21"/>
        </w:rPr>
      </w:pPr>
      <w:r>
        <w:rPr>
          <w:sz w:val="21"/>
          <w:szCs w:val="21"/>
        </w:rPr>
        <w:t>Superintendent’s Memo #001-22</w:t>
      </w:r>
    </w:p>
    <w:p w14:paraId="2886DCE1" w14:textId="56BA7F32" w:rsidR="00C321CE" w:rsidRPr="00C321CE" w:rsidRDefault="00C321CE" w:rsidP="00C321CE">
      <w:pPr>
        <w:spacing w:line="240" w:lineRule="auto"/>
        <w:jc w:val="right"/>
        <w:rPr>
          <w:sz w:val="21"/>
          <w:szCs w:val="21"/>
        </w:rPr>
      </w:pPr>
      <w:r>
        <w:rPr>
          <w:sz w:val="21"/>
          <w:szCs w:val="21"/>
        </w:rPr>
        <w:t>January 7, 2022</w:t>
      </w:r>
      <w:bookmarkStart w:id="1" w:name="_GoBack"/>
      <w:bookmarkEnd w:id="1"/>
    </w:p>
    <w:p w14:paraId="646FECFA" w14:textId="77777777" w:rsidR="00C321CE" w:rsidRDefault="00C321CE" w:rsidP="00F63288">
      <w:pPr>
        <w:pStyle w:val="Title"/>
        <w:rPr>
          <w:spacing w:val="15"/>
          <w:sz w:val="24"/>
          <w:szCs w:val="22"/>
        </w:rPr>
      </w:pPr>
    </w:p>
    <w:p w14:paraId="66599590" w14:textId="4C048505" w:rsidR="00EE4E56" w:rsidRPr="00F63288" w:rsidRDefault="004E0171" w:rsidP="00F63288">
      <w:pPr>
        <w:pStyle w:val="Title"/>
        <w:rPr>
          <w:spacing w:val="15"/>
          <w:sz w:val="24"/>
          <w:szCs w:val="22"/>
        </w:rPr>
      </w:pPr>
      <w:r w:rsidRPr="00F63288">
        <w:rPr>
          <w:spacing w:val="15"/>
          <w:sz w:val="24"/>
          <w:szCs w:val="22"/>
        </w:rPr>
        <w:t>SOQ</w:t>
      </w:r>
      <w:r w:rsidR="00EE4E56" w:rsidRPr="00F63288">
        <w:rPr>
          <w:spacing w:val="15"/>
          <w:sz w:val="24"/>
          <w:szCs w:val="22"/>
        </w:rPr>
        <w:t xml:space="preserve"> COMPLIANCE </w:t>
      </w:r>
      <w:r w:rsidR="00C07EB1" w:rsidRPr="00F63288">
        <w:rPr>
          <w:spacing w:val="15"/>
          <w:sz w:val="24"/>
          <w:szCs w:val="22"/>
        </w:rPr>
        <w:t>PILOT PROGRAM – SUBMISSION OF VERIFICATION DOCUMENTATION</w:t>
      </w:r>
    </w:p>
    <w:p w14:paraId="3F678402" w14:textId="44B17807" w:rsidR="00EE4E56" w:rsidRPr="00F63288" w:rsidRDefault="00EE4E56">
      <w:pPr>
        <w:pStyle w:val="Title"/>
        <w:rPr>
          <w:b w:val="0"/>
          <w:bCs/>
          <w:i/>
          <w:iCs/>
          <w:sz w:val="22"/>
          <w:szCs w:val="21"/>
        </w:rPr>
      </w:pPr>
      <w:r w:rsidRPr="00F63288">
        <w:rPr>
          <w:b w:val="0"/>
          <w:bCs/>
          <w:i/>
          <w:iCs/>
          <w:sz w:val="22"/>
          <w:szCs w:val="21"/>
        </w:rPr>
        <w:t xml:space="preserve">Instructions for submitting evidence of compliance for the 2020-2021 school year </w:t>
      </w:r>
    </w:p>
    <w:p w14:paraId="202A305B" w14:textId="77777777" w:rsidR="00EE4E56" w:rsidRDefault="00EE4E56">
      <w:pPr>
        <w:spacing w:line="240" w:lineRule="auto"/>
        <w:rPr>
          <w:sz w:val="20"/>
          <w:szCs w:val="20"/>
        </w:rPr>
      </w:pPr>
    </w:p>
    <w:p w14:paraId="781BF416" w14:textId="0C155C7E" w:rsidR="00096A16" w:rsidRPr="00EE4E56" w:rsidRDefault="00EE4E56">
      <w:pPr>
        <w:spacing w:line="240" w:lineRule="auto"/>
        <w:rPr>
          <w:sz w:val="21"/>
          <w:szCs w:val="21"/>
        </w:rPr>
      </w:pPr>
      <w:r w:rsidRPr="00EE4E56">
        <w:rPr>
          <w:sz w:val="21"/>
          <w:szCs w:val="21"/>
        </w:rPr>
        <w:t xml:space="preserve">Each school division is required to submit </w:t>
      </w:r>
      <w:r w:rsidR="00A324F0" w:rsidRPr="00EE4E56">
        <w:rPr>
          <w:sz w:val="21"/>
          <w:szCs w:val="21"/>
        </w:rPr>
        <w:t xml:space="preserve">documentation verifying compliance with the </w:t>
      </w:r>
      <w:r w:rsidR="00002722">
        <w:rPr>
          <w:sz w:val="21"/>
          <w:szCs w:val="21"/>
        </w:rPr>
        <w:t xml:space="preserve">11 </w:t>
      </w:r>
      <w:r w:rsidR="00362E7E">
        <w:rPr>
          <w:sz w:val="21"/>
          <w:szCs w:val="21"/>
        </w:rPr>
        <w:t xml:space="preserve">selected </w:t>
      </w:r>
      <w:r w:rsidR="00002722">
        <w:rPr>
          <w:sz w:val="21"/>
          <w:szCs w:val="21"/>
        </w:rPr>
        <w:t>standards</w:t>
      </w:r>
      <w:r w:rsidR="00B40857">
        <w:rPr>
          <w:sz w:val="21"/>
          <w:szCs w:val="21"/>
        </w:rPr>
        <w:t xml:space="preserve"> listed</w:t>
      </w:r>
      <w:r w:rsidR="00A324F0" w:rsidRPr="00EE4E56">
        <w:rPr>
          <w:sz w:val="21"/>
          <w:szCs w:val="21"/>
        </w:rPr>
        <w:t xml:space="preserve"> </w:t>
      </w:r>
      <w:r>
        <w:rPr>
          <w:sz w:val="21"/>
          <w:szCs w:val="21"/>
        </w:rPr>
        <w:t>in</w:t>
      </w:r>
      <w:r w:rsidR="004E0171">
        <w:rPr>
          <w:sz w:val="21"/>
          <w:szCs w:val="21"/>
        </w:rPr>
        <w:t xml:space="preserve"> th</w:t>
      </w:r>
      <w:r w:rsidR="00002722">
        <w:rPr>
          <w:sz w:val="21"/>
          <w:szCs w:val="21"/>
        </w:rPr>
        <w:t>is document</w:t>
      </w:r>
      <w:r w:rsidR="00A324F0" w:rsidRPr="00EE4E56">
        <w:rPr>
          <w:sz w:val="21"/>
          <w:szCs w:val="21"/>
        </w:rPr>
        <w:t xml:space="preserve">. </w:t>
      </w:r>
      <w:r w:rsidR="00A324F0" w:rsidRPr="00EE4E56">
        <w:rPr>
          <w:b/>
          <w:sz w:val="21"/>
          <w:szCs w:val="21"/>
        </w:rPr>
        <w:t xml:space="preserve">PLEASE NOTE YOU ARE SUBMITTING </w:t>
      </w:r>
      <w:r w:rsidR="00002722">
        <w:rPr>
          <w:b/>
          <w:sz w:val="21"/>
          <w:szCs w:val="21"/>
        </w:rPr>
        <w:t>DOCUMENTATION</w:t>
      </w:r>
      <w:r w:rsidR="00A324F0" w:rsidRPr="00EE4E56">
        <w:rPr>
          <w:b/>
          <w:sz w:val="21"/>
          <w:szCs w:val="21"/>
        </w:rPr>
        <w:t xml:space="preserve"> FOR </w:t>
      </w:r>
      <w:r w:rsidR="00362E7E">
        <w:rPr>
          <w:b/>
          <w:sz w:val="21"/>
          <w:szCs w:val="21"/>
        </w:rPr>
        <w:t xml:space="preserve">THE </w:t>
      </w:r>
      <w:r w:rsidR="00A324F0" w:rsidRPr="00C07EB1">
        <w:rPr>
          <w:b/>
          <w:sz w:val="21"/>
          <w:szCs w:val="21"/>
          <w:u w:val="single"/>
        </w:rPr>
        <w:t>2020-2021</w:t>
      </w:r>
      <w:r w:rsidR="00362E7E">
        <w:rPr>
          <w:b/>
          <w:sz w:val="21"/>
          <w:szCs w:val="21"/>
          <w:u w:val="single"/>
        </w:rPr>
        <w:t xml:space="preserve"> SCHOOL YEAR</w:t>
      </w:r>
      <w:r w:rsidR="00A324F0" w:rsidRPr="00EE4E56">
        <w:rPr>
          <w:sz w:val="21"/>
          <w:szCs w:val="21"/>
        </w:rPr>
        <w:t>.</w:t>
      </w:r>
    </w:p>
    <w:p w14:paraId="6C5C4881" w14:textId="77777777" w:rsidR="00EE4E56" w:rsidRPr="00EE4E56" w:rsidRDefault="00EE4E56" w:rsidP="00EE4E56">
      <w:pPr>
        <w:spacing w:line="240" w:lineRule="auto"/>
        <w:rPr>
          <w:sz w:val="21"/>
          <w:szCs w:val="21"/>
        </w:rPr>
      </w:pPr>
    </w:p>
    <w:p w14:paraId="6F37AE1F" w14:textId="399672E4" w:rsidR="00EE4E56" w:rsidRPr="00EE4E56" w:rsidRDefault="00EE4E56" w:rsidP="00EE4E56">
      <w:pPr>
        <w:spacing w:line="240" w:lineRule="auto"/>
        <w:rPr>
          <w:sz w:val="21"/>
          <w:szCs w:val="21"/>
        </w:rPr>
      </w:pPr>
      <w:r w:rsidRPr="00EE4E56">
        <w:rPr>
          <w:sz w:val="21"/>
          <w:szCs w:val="21"/>
        </w:rPr>
        <w:t xml:space="preserve">Divisions </w:t>
      </w:r>
      <w:r w:rsidR="00C07EB1">
        <w:rPr>
          <w:sz w:val="21"/>
          <w:szCs w:val="21"/>
        </w:rPr>
        <w:t>will</w:t>
      </w:r>
      <w:r w:rsidRPr="00EE4E56">
        <w:rPr>
          <w:sz w:val="21"/>
          <w:szCs w:val="21"/>
        </w:rPr>
        <w:t xml:space="preserve"> organize their </w:t>
      </w:r>
      <w:r w:rsidR="00B40857">
        <w:rPr>
          <w:sz w:val="21"/>
          <w:szCs w:val="21"/>
        </w:rPr>
        <w:t>documents</w:t>
      </w:r>
      <w:r w:rsidRPr="00EE4E56">
        <w:rPr>
          <w:sz w:val="21"/>
          <w:szCs w:val="21"/>
        </w:rPr>
        <w:t xml:space="preserve"> </w:t>
      </w:r>
      <w:r w:rsidR="004E0171">
        <w:rPr>
          <w:sz w:val="21"/>
          <w:szCs w:val="21"/>
        </w:rPr>
        <w:t xml:space="preserve">in a </w:t>
      </w:r>
      <w:r w:rsidRPr="00EE4E56">
        <w:rPr>
          <w:sz w:val="21"/>
          <w:szCs w:val="21"/>
        </w:rPr>
        <w:t xml:space="preserve">Google Drive </w:t>
      </w:r>
      <w:r w:rsidR="000936AD">
        <w:rPr>
          <w:sz w:val="21"/>
          <w:szCs w:val="21"/>
        </w:rPr>
        <w:t xml:space="preserve">parent </w:t>
      </w:r>
      <w:r w:rsidR="004E0171">
        <w:rPr>
          <w:sz w:val="21"/>
          <w:szCs w:val="21"/>
        </w:rPr>
        <w:t xml:space="preserve">folder </w:t>
      </w:r>
      <w:r w:rsidRPr="00EE4E56">
        <w:rPr>
          <w:sz w:val="21"/>
          <w:szCs w:val="21"/>
        </w:rPr>
        <w:t xml:space="preserve">and </w:t>
      </w:r>
      <w:r w:rsidR="004E0171">
        <w:rPr>
          <w:sz w:val="21"/>
          <w:szCs w:val="21"/>
        </w:rPr>
        <w:t>submit a link to that folder through the</w:t>
      </w:r>
      <w:r w:rsidRPr="00EE4E56">
        <w:rPr>
          <w:sz w:val="21"/>
          <w:szCs w:val="21"/>
        </w:rPr>
        <w:t xml:space="preserve"> </w:t>
      </w:r>
      <w:hyperlink r:id="rId12" w:history="1">
        <w:r w:rsidR="00002722">
          <w:rPr>
            <w:rStyle w:val="Hyperlink"/>
            <w:sz w:val="21"/>
            <w:szCs w:val="21"/>
          </w:rPr>
          <w:t>SOQ Compliance Pilot Google Form</w:t>
        </w:r>
      </w:hyperlink>
      <w:r w:rsidRPr="00EE4E56">
        <w:rPr>
          <w:sz w:val="21"/>
          <w:szCs w:val="21"/>
        </w:rPr>
        <w:t>. Please contact Scott Kizner</w:t>
      </w:r>
      <w:r w:rsidR="004E0171">
        <w:rPr>
          <w:sz w:val="21"/>
          <w:szCs w:val="21"/>
        </w:rPr>
        <w:t xml:space="preserve"> </w:t>
      </w:r>
      <w:r w:rsidRPr="00EE4E56">
        <w:rPr>
          <w:sz w:val="21"/>
          <w:szCs w:val="21"/>
        </w:rPr>
        <w:t xml:space="preserve">at </w:t>
      </w:r>
      <w:hyperlink r:id="rId13">
        <w:r w:rsidRPr="00EE4E56">
          <w:rPr>
            <w:color w:val="0000FF"/>
            <w:sz w:val="21"/>
            <w:szCs w:val="21"/>
            <w:u w:val="single"/>
          </w:rPr>
          <w:t>scott.kizner@doe.virginia.gov</w:t>
        </w:r>
      </w:hyperlink>
      <w:r w:rsidRPr="00EE4E56">
        <w:rPr>
          <w:sz w:val="21"/>
          <w:szCs w:val="21"/>
        </w:rPr>
        <w:t xml:space="preserve"> or 804</w:t>
      </w:r>
      <w:r w:rsidR="004E0171">
        <w:rPr>
          <w:sz w:val="21"/>
          <w:szCs w:val="21"/>
        </w:rPr>
        <w:t>-</w:t>
      </w:r>
      <w:r w:rsidR="00AB6E52">
        <w:rPr>
          <w:sz w:val="21"/>
          <w:szCs w:val="21"/>
        </w:rPr>
        <w:t>786-0941</w:t>
      </w:r>
      <w:r w:rsidRPr="00EE4E56">
        <w:rPr>
          <w:sz w:val="21"/>
          <w:szCs w:val="21"/>
        </w:rPr>
        <w:t xml:space="preserve"> if your division is unable to use Google Drive or Form</w:t>
      </w:r>
      <w:r w:rsidR="00362E7E">
        <w:rPr>
          <w:sz w:val="21"/>
          <w:szCs w:val="21"/>
        </w:rPr>
        <w:t xml:space="preserve"> to determine an alternative submission option.</w:t>
      </w:r>
      <w:r w:rsidR="00002722">
        <w:rPr>
          <w:sz w:val="21"/>
          <w:szCs w:val="21"/>
        </w:rPr>
        <w:t xml:space="preserve">  </w:t>
      </w:r>
    </w:p>
    <w:p w14:paraId="7E267388" w14:textId="242B1D5F" w:rsidR="00EE4E56" w:rsidRPr="00EE4E56" w:rsidRDefault="00EE4E56" w:rsidP="00EE4E56">
      <w:pPr>
        <w:spacing w:line="240" w:lineRule="auto"/>
        <w:rPr>
          <w:sz w:val="21"/>
          <w:szCs w:val="21"/>
        </w:rPr>
      </w:pPr>
    </w:p>
    <w:p w14:paraId="25128DD2" w14:textId="0F32AD44" w:rsidR="00EE4E56" w:rsidRPr="00EE4E56" w:rsidRDefault="00EE4E56" w:rsidP="00EE4E56">
      <w:pPr>
        <w:spacing w:line="240" w:lineRule="auto"/>
        <w:rPr>
          <w:sz w:val="21"/>
          <w:szCs w:val="21"/>
        </w:rPr>
      </w:pPr>
      <w:r w:rsidRPr="00EE4E56">
        <w:rPr>
          <w:sz w:val="21"/>
          <w:szCs w:val="21"/>
        </w:rPr>
        <w:t>INSTRUCTIONS FOR SUBMISSION</w:t>
      </w:r>
      <w:r w:rsidR="00B40857">
        <w:rPr>
          <w:sz w:val="21"/>
          <w:szCs w:val="21"/>
        </w:rPr>
        <w:t>:</w:t>
      </w:r>
    </w:p>
    <w:p w14:paraId="08C04F6C" w14:textId="118C4FE6" w:rsidR="00EE4E56" w:rsidRPr="00EE4E56" w:rsidRDefault="00EE4E56" w:rsidP="0099567F">
      <w:pPr>
        <w:pStyle w:val="ListParagraph"/>
        <w:numPr>
          <w:ilvl w:val="0"/>
          <w:numId w:val="4"/>
        </w:numPr>
        <w:spacing w:line="240" w:lineRule="auto"/>
        <w:rPr>
          <w:sz w:val="21"/>
          <w:szCs w:val="21"/>
        </w:rPr>
      </w:pPr>
      <w:r w:rsidRPr="00EE4E56">
        <w:rPr>
          <w:sz w:val="21"/>
          <w:szCs w:val="21"/>
        </w:rPr>
        <w:t>Create a Google Drive folder named as your division</w:t>
      </w:r>
      <w:r w:rsidR="0099567F">
        <w:rPr>
          <w:sz w:val="21"/>
          <w:szCs w:val="21"/>
        </w:rPr>
        <w:t xml:space="preserve"> (e.g. “</w:t>
      </w:r>
      <w:r w:rsidR="0099567F" w:rsidRPr="0099567F">
        <w:rPr>
          <w:sz w:val="21"/>
          <w:szCs w:val="21"/>
        </w:rPr>
        <w:t>Craig County</w:t>
      </w:r>
      <w:r w:rsidR="0099567F">
        <w:rPr>
          <w:sz w:val="21"/>
          <w:szCs w:val="21"/>
        </w:rPr>
        <w:t>”) which</w:t>
      </w:r>
      <w:r w:rsidRPr="00EE4E56">
        <w:rPr>
          <w:sz w:val="21"/>
          <w:szCs w:val="21"/>
        </w:rPr>
        <w:t xml:space="preserve"> will serve as the parent folder for </w:t>
      </w:r>
      <w:r w:rsidR="0099567F">
        <w:rPr>
          <w:sz w:val="21"/>
          <w:szCs w:val="21"/>
        </w:rPr>
        <w:t>all</w:t>
      </w:r>
      <w:r w:rsidR="004E0171">
        <w:rPr>
          <w:sz w:val="21"/>
          <w:szCs w:val="21"/>
        </w:rPr>
        <w:t xml:space="preserve"> documentation</w:t>
      </w:r>
      <w:r w:rsidRPr="00EE4E56">
        <w:rPr>
          <w:sz w:val="21"/>
          <w:szCs w:val="21"/>
        </w:rPr>
        <w:t>.</w:t>
      </w:r>
    </w:p>
    <w:p w14:paraId="44B8B5CE" w14:textId="026B6E2F" w:rsidR="00EE4E56" w:rsidRDefault="00EE4E56" w:rsidP="00EE4E56">
      <w:pPr>
        <w:pStyle w:val="ListParagraph"/>
        <w:numPr>
          <w:ilvl w:val="0"/>
          <w:numId w:val="4"/>
        </w:numPr>
        <w:spacing w:line="240" w:lineRule="auto"/>
        <w:rPr>
          <w:sz w:val="21"/>
          <w:szCs w:val="21"/>
        </w:rPr>
      </w:pPr>
      <w:r w:rsidRPr="00EE4E56">
        <w:rPr>
          <w:sz w:val="21"/>
          <w:szCs w:val="21"/>
        </w:rPr>
        <w:t xml:space="preserve">Within </w:t>
      </w:r>
      <w:r w:rsidR="0099567F">
        <w:rPr>
          <w:sz w:val="21"/>
          <w:szCs w:val="21"/>
        </w:rPr>
        <w:t xml:space="preserve">the parent folder </w:t>
      </w:r>
      <w:r w:rsidRPr="00EE4E56">
        <w:rPr>
          <w:sz w:val="21"/>
          <w:szCs w:val="21"/>
        </w:rPr>
        <w:t>named as your div</w:t>
      </w:r>
      <w:r w:rsidR="0099567F">
        <w:rPr>
          <w:sz w:val="21"/>
          <w:szCs w:val="21"/>
        </w:rPr>
        <w:t>ision</w:t>
      </w:r>
      <w:r w:rsidRPr="00EE4E56">
        <w:rPr>
          <w:sz w:val="21"/>
          <w:szCs w:val="21"/>
        </w:rPr>
        <w:t xml:space="preserve">, create </w:t>
      </w:r>
      <w:r w:rsidR="000936AD">
        <w:rPr>
          <w:sz w:val="21"/>
          <w:szCs w:val="21"/>
        </w:rPr>
        <w:t>11</w:t>
      </w:r>
      <w:r w:rsidR="00B40857">
        <w:rPr>
          <w:sz w:val="21"/>
          <w:szCs w:val="21"/>
        </w:rPr>
        <w:t xml:space="preserve"> subfolder</w:t>
      </w:r>
      <w:r w:rsidR="000936AD">
        <w:rPr>
          <w:sz w:val="21"/>
          <w:szCs w:val="21"/>
        </w:rPr>
        <w:t>s, one</w:t>
      </w:r>
      <w:r w:rsidR="00B40857">
        <w:rPr>
          <w:sz w:val="21"/>
          <w:szCs w:val="21"/>
        </w:rPr>
        <w:t xml:space="preserve"> for each standard</w:t>
      </w:r>
      <w:r w:rsidR="004E0171">
        <w:rPr>
          <w:sz w:val="21"/>
          <w:szCs w:val="21"/>
        </w:rPr>
        <w:t xml:space="preserve"> in the chart below. Use the</w:t>
      </w:r>
      <w:r w:rsidR="00B40857">
        <w:rPr>
          <w:sz w:val="21"/>
          <w:szCs w:val="21"/>
        </w:rPr>
        <w:t xml:space="preserve"> bold</w:t>
      </w:r>
      <w:r w:rsidR="00FA31DA">
        <w:rPr>
          <w:sz w:val="21"/>
          <w:szCs w:val="21"/>
        </w:rPr>
        <w:t>ed</w:t>
      </w:r>
      <w:r w:rsidRPr="00EE4E56">
        <w:rPr>
          <w:sz w:val="21"/>
          <w:szCs w:val="21"/>
        </w:rPr>
        <w:t xml:space="preserve"> </w:t>
      </w:r>
      <w:r w:rsidR="00C07EB1">
        <w:rPr>
          <w:sz w:val="21"/>
          <w:szCs w:val="21"/>
        </w:rPr>
        <w:t>text in the “</w:t>
      </w:r>
      <w:r w:rsidR="0099567F">
        <w:rPr>
          <w:sz w:val="21"/>
          <w:szCs w:val="21"/>
        </w:rPr>
        <w:t>Subf</w:t>
      </w:r>
      <w:r w:rsidR="00C07EB1">
        <w:rPr>
          <w:sz w:val="21"/>
          <w:szCs w:val="21"/>
        </w:rPr>
        <w:t>older Title” column</w:t>
      </w:r>
      <w:r w:rsidRPr="00EE4E56">
        <w:rPr>
          <w:sz w:val="21"/>
          <w:szCs w:val="21"/>
        </w:rPr>
        <w:t xml:space="preserve"> </w:t>
      </w:r>
      <w:r w:rsidR="004E0171">
        <w:rPr>
          <w:sz w:val="21"/>
          <w:szCs w:val="21"/>
        </w:rPr>
        <w:t xml:space="preserve">as the name of </w:t>
      </w:r>
      <w:r w:rsidR="00C07EB1">
        <w:rPr>
          <w:sz w:val="21"/>
          <w:szCs w:val="21"/>
        </w:rPr>
        <w:t>each</w:t>
      </w:r>
      <w:r w:rsidR="004E0171">
        <w:rPr>
          <w:sz w:val="21"/>
          <w:szCs w:val="21"/>
        </w:rPr>
        <w:t xml:space="preserve"> subfolder</w:t>
      </w:r>
      <w:r w:rsidRPr="00EE4E56">
        <w:rPr>
          <w:sz w:val="21"/>
          <w:szCs w:val="21"/>
        </w:rPr>
        <w:t xml:space="preserve">. For example, </w:t>
      </w:r>
      <w:r w:rsidR="004E0171">
        <w:rPr>
          <w:sz w:val="21"/>
          <w:szCs w:val="21"/>
        </w:rPr>
        <w:t xml:space="preserve">all documents </w:t>
      </w:r>
      <w:r w:rsidRPr="00EE4E56">
        <w:rPr>
          <w:sz w:val="21"/>
          <w:szCs w:val="21"/>
        </w:rPr>
        <w:t>being used to verify compliance for the standard</w:t>
      </w:r>
      <w:r w:rsidR="00FA31DA">
        <w:rPr>
          <w:sz w:val="21"/>
          <w:szCs w:val="21"/>
        </w:rPr>
        <w:t xml:space="preserve"> listed in the first row</w:t>
      </w:r>
      <w:r w:rsidRPr="00EE4E56">
        <w:rPr>
          <w:sz w:val="21"/>
          <w:szCs w:val="21"/>
        </w:rPr>
        <w:t xml:space="preserve"> should be uploaded into a folder title</w:t>
      </w:r>
      <w:r w:rsidR="004E0171">
        <w:rPr>
          <w:sz w:val="21"/>
          <w:szCs w:val="21"/>
        </w:rPr>
        <w:t>d</w:t>
      </w:r>
      <w:r w:rsidRPr="00EE4E56">
        <w:rPr>
          <w:sz w:val="21"/>
          <w:szCs w:val="21"/>
        </w:rPr>
        <w:t xml:space="preserve"> “At-Risk Plan.”</w:t>
      </w:r>
    </w:p>
    <w:p w14:paraId="64BB06D8" w14:textId="755270F9" w:rsidR="00EE4E56" w:rsidRPr="00EE4E56" w:rsidRDefault="004E0171" w:rsidP="00EE4E56">
      <w:pPr>
        <w:pStyle w:val="ListParagraph"/>
        <w:numPr>
          <w:ilvl w:val="0"/>
          <w:numId w:val="4"/>
        </w:numPr>
        <w:spacing w:line="240" w:lineRule="auto"/>
        <w:rPr>
          <w:sz w:val="21"/>
          <w:szCs w:val="21"/>
        </w:rPr>
      </w:pPr>
      <w:r>
        <w:rPr>
          <w:sz w:val="21"/>
          <w:szCs w:val="21"/>
        </w:rPr>
        <w:t>Upload</w:t>
      </w:r>
      <w:r w:rsidR="00EE4E56" w:rsidRPr="00EE4E56">
        <w:rPr>
          <w:sz w:val="21"/>
          <w:szCs w:val="21"/>
        </w:rPr>
        <w:t xml:space="preserve"> only documentation </w:t>
      </w:r>
      <w:r w:rsidR="00B40857">
        <w:rPr>
          <w:sz w:val="21"/>
          <w:szCs w:val="21"/>
        </w:rPr>
        <w:t>necessary to confirm</w:t>
      </w:r>
      <w:r w:rsidR="00EE4E56" w:rsidRPr="00EE4E56">
        <w:rPr>
          <w:sz w:val="21"/>
          <w:szCs w:val="21"/>
        </w:rPr>
        <w:t xml:space="preserve"> compliance with the standard; </w:t>
      </w:r>
      <w:r w:rsidR="00B40857">
        <w:rPr>
          <w:sz w:val="21"/>
          <w:szCs w:val="21"/>
        </w:rPr>
        <w:t>extra</w:t>
      </w:r>
      <w:r w:rsidR="00EE4E56" w:rsidRPr="00EE4E56">
        <w:rPr>
          <w:sz w:val="21"/>
          <w:szCs w:val="21"/>
        </w:rPr>
        <w:t xml:space="preserve"> documentation </w:t>
      </w:r>
      <w:r>
        <w:rPr>
          <w:sz w:val="21"/>
          <w:szCs w:val="21"/>
        </w:rPr>
        <w:t>will</w:t>
      </w:r>
      <w:r w:rsidR="00EE4E56" w:rsidRPr="00EE4E56">
        <w:rPr>
          <w:sz w:val="21"/>
          <w:szCs w:val="21"/>
        </w:rPr>
        <w:t xml:space="preserve"> delay the review process.</w:t>
      </w:r>
    </w:p>
    <w:p w14:paraId="2C9B8481" w14:textId="293E0FAB" w:rsidR="00B40857" w:rsidRDefault="0099567F" w:rsidP="000936AD">
      <w:pPr>
        <w:pStyle w:val="ListParagraph"/>
        <w:numPr>
          <w:ilvl w:val="0"/>
          <w:numId w:val="4"/>
        </w:numPr>
        <w:spacing w:line="240" w:lineRule="auto"/>
        <w:rPr>
          <w:sz w:val="21"/>
          <w:szCs w:val="21"/>
        </w:rPr>
      </w:pPr>
      <w:r>
        <w:rPr>
          <w:sz w:val="21"/>
          <w:szCs w:val="21"/>
        </w:rPr>
        <w:t>Once all documentation has been uploaded, g</w:t>
      </w:r>
      <w:r w:rsidR="00B40857">
        <w:rPr>
          <w:sz w:val="21"/>
          <w:szCs w:val="21"/>
        </w:rPr>
        <w:t xml:space="preserve">rant </w:t>
      </w:r>
      <w:r w:rsidR="000936AD">
        <w:rPr>
          <w:sz w:val="21"/>
          <w:szCs w:val="21"/>
        </w:rPr>
        <w:t>access for</w:t>
      </w:r>
      <w:r w:rsidR="00B40857">
        <w:rPr>
          <w:sz w:val="21"/>
          <w:szCs w:val="21"/>
        </w:rPr>
        <w:t xml:space="preserve"> </w:t>
      </w:r>
      <w:r w:rsidR="00002722">
        <w:rPr>
          <w:sz w:val="21"/>
          <w:szCs w:val="21"/>
        </w:rPr>
        <w:t xml:space="preserve">Scott Kizner </w:t>
      </w:r>
      <w:r w:rsidR="00B40857">
        <w:rPr>
          <w:sz w:val="21"/>
          <w:szCs w:val="21"/>
        </w:rPr>
        <w:t>to view your parent</w:t>
      </w:r>
      <w:r>
        <w:rPr>
          <w:sz w:val="21"/>
          <w:szCs w:val="21"/>
        </w:rPr>
        <w:t xml:space="preserve"> folder and submit a link to the folder through the </w:t>
      </w:r>
      <w:hyperlink r:id="rId14" w:history="1">
        <w:r w:rsidR="00002722">
          <w:rPr>
            <w:rStyle w:val="Hyperlink"/>
            <w:sz w:val="21"/>
            <w:szCs w:val="21"/>
          </w:rPr>
          <w:t>SOQ Compliance Pilot Google Form</w:t>
        </w:r>
      </w:hyperlink>
      <w:r>
        <w:rPr>
          <w:sz w:val="21"/>
          <w:szCs w:val="21"/>
        </w:rPr>
        <w:t>.</w:t>
      </w:r>
    </w:p>
    <w:p w14:paraId="2588509A" w14:textId="3711FBE7" w:rsidR="0099567F" w:rsidRDefault="0099567F" w:rsidP="0099567F">
      <w:pPr>
        <w:pStyle w:val="ListParagraph"/>
        <w:numPr>
          <w:ilvl w:val="1"/>
          <w:numId w:val="4"/>
        </w:numPr>
        <w:spacing w:line="240" w:lineRule="auto"/>
        <w:rPr>
          <w:sz w:val="21"/>
          <w:szCs w:val="21"/>
        </w:rPr>
      </w:pPr>
      <w:r>
        <w:rPr>
          <w:sz w:val="21"/>
          <w:szCs w:val="21"/>
        </w:rPr>
        <w:t xml:space="preserve">To grant </w:t>
      </w:r>
      <w:r w:rsidR="000936AD">
        <w:rPr>
          <w:sz w:val="21"/>
          <w:szCs w:val="21"/>
        </w:rPr>
        <w:t xml:space="preserve">the required </w:t>
      </w:r>
      <w:r>
        <w:rPr>
          <w:sz w:val="21"/>
          <w:szCs w:val="21"/>
        </w:rPr>
        <w:t xml:space="preserve">permission, right click the parent folder in Google drive and select “Share.” </w:t>
      </w:r>
      <w:r w:rsidR="00002722">
        <w:rPr>
          <w:sz w:val="21"/>
          <w:szCs w:val="21"/>
        </w:rPr>
        <w:t>Enter</w:t>
      </w:r>
      <w:r>
        <w:rPr>
          <w:sz w:val="21"/>
          <w:szCs w:val="21"/>
        </w:rPr>
        <w:t xml:space="preserve"> </w:t>
      </w:r>
      <w:hyperlink r:id="rId15" w:history="1">
        <w:r w:rsidRPr="005F02A1">
          <w:rPr>
            <w:rStyle w:val="Hyperlink"/>
            <w:sz w:val="21"/>
            <w:szCs w:val="21"/>
          </w:rPr>
          <w:t>scott.kizner@doe.virginia.gov</w:t>
        </w:r>
      </w:hyperlink>
      <w:r>
        <w:rPr>
          <w:sz w:val="21"/>
          <w:szCs w:val="21"/>
        </w:rPr>
        <w:t xml:space="preserve"> in the “Add people and groups” blank and click “S</w:t>
      </w:r>
      <w:r w:rsidR="00002722">
        <w:rPr>
          <w:sz w:val="21"/>
          <w:szCs w:val="21"/>
        </w:rPr>
        <w:t>end.”</w:t>
      </w:r>
    </w:p>
    <w:p w14:paraId="3D8C5638" w14:textId="77777777" w:rsidR="00002722" w:rsidRDefault="000936AD" w:rsidP="00002722">
      <w:pPr>
        <w:pStyle w:val="ListParagraph"/>
        <w:numPr>
          <w:ilvl w:val="1"/>
          <w:numId w:val="4"/>
        </w:numPr>
        <w:spacing w:line="240" w:lineRule="auto"/>
        <w:rPr>
          <w:sz w:val="21"/>
          <w:szCs w:val="21"/>
        </w:rPr>
      </w:pPr>
      <w:r w:rsidRPr="00002722">
        <w:rPr>
          <w:sz w:val="21"/>
          <w:szCs w:val="21"/>
        </w:rPr>
        <w:t>To get the link to your parent folder, right click the parent folder in Google Drive, select "Get link" and copy the link from the pop-up box.</w:t>
      </w:r>
    </w:p>
    <w:p w14:paraId="1F496643" w14:textId="6925290C" w:rsidR="00EE4E56" w:rsidRDefault="00002722" w:rsidP="00002722">
      <w:pPr>
        <w:pStyle w:val="ListParagraph"/>
        <w:numPr>
          <w:ilvl w:val="0"/>
          <w:numId w:val="4"/>
        </w:numPr>
        <w:spacing w:line="240" w:lineRule="auto"/>
        <w:rPr>
          <w:sz w:val="21"/>
          <w:szCs w:val="21"/>
        </w:rPr>
      </w:pPr>
      <w:r w:rsidRPr="00002722">
        <w:rPr>
          <w:sz w:val="21"/>
          <w:szCs w:val="21"/>
        </w:rPr>
        <w:t xml:space="preserve">Divisions are encouraged to submit their documentation as soon as possible, but must </w:t>
      </w:r>
      <w:r>
        <w:rPr>
          <w:sz w:val="21"/>
          <w:szCs w:val="21"/>
        </w:rPr>
        <w:t>submit</w:t>
      </w:r>
      <w:r w:rsidRPr="00002722">
        <w:rPr>
          <w:sz w:val="21"/>
          <w:szCs w:val="21"/>
        </w:rPr>
        <w:t xml:space="preserve"> no later than </w:t>
      </w:r>
      <w:r w:rsidRPr="00002722">
        <w:rPr>
          <w:b/>
          <w:sz w:val="21"/>
          <w:szCs w:val="21"/>
        </w:rPr>
        <w:t>February 1, 2022</w:t>
      </w:r>
      <w:r w:rsidRPr="00002722">
        <w:rPr>
          <w:sz w:val="21"/>
          <w:szCs w:val="21"/>
        </w:rPr>
        <w:t>.</w:t>
      </w:r>
    </w:p>
    <w:p w14:paraId="51A498FC" w14:textId="77777777" w:rsidR="00002722" w:rsidRPr="00002722" w:rsidRDefault="00002722" w:rsidP="00002722">
      <w:pPr>
        <w:spacing w:line="240" w:lineRule="auto"/>
        <w:rPr>
          <w:sz w:val="21"/>
          <w:szCs w:val="21"/>
        </w:rPr>
      </w:pPr>
    </w:p>
    <w:p w14:paraId="18FF3DB0" w14:textId="77777777" w:rsidR="00096A16" w:rsidRDefault="00096A16">
      <w:pPr>
        <w:spacing w:line="240" w:lineRule="auto"/>
        <w:rPr>
          <w:sz w:val="20"/>
          <w:szCs w:val="20"/>
        </w:rPr>
      </w:pPr>
    </w:p>
    <w:p w14:paraId="12EE5777" w14:textId="7886245C" w:rsidR="00096A16" w:rsidRPr="00F63288" w:rsidRDefault="00666870" w:rsidP="00F63288">
      <w:pPr>
        <w:pBdr>
          <w:top w:val="single" w:sz="4" w:space="1" w:color="auto"/>
          <w:left w:val="single" w:sz="4" w:space="4" w:color="auto"/>
          <w:bottom w:val="single" w:sz="4" w:space="1" w:color="auto"/>
          <w:right w:val="single" w:sz="4" w:space="0" w:color="auto"/>
        </w:pBdr>
        <w:spacing w:line="240" w:lineRule="auto"/>
        <w:jc w:val="center"/>
        <w:rPr>
          <w:b/>
        </w:rPr>
      </w:pPr>
      <w:r w:rsidRPr="00F63288">
        <w:rPr>
          <w:b/>
        </w:rPr>
        <w:t xml:space="preserve">*Before submitting the </w:t>
      </w:r>
      <w:hyperlink r:id="rId16" w:history="1">
        <w:r w:rsidRPr="00002722">
          <w:rPr>
            <w:rStyle w:val="Hyperlink"/>
            <w:b/>
          </w:rPr>
          <w:t>Google Form</w:t>
        </w:r>
      </w:hyperlink>
      <w:r w:rsidRPr="00F63288">
        <w:rPr>
          <w:b/>
        </w:rPr>
        <w:t xml:space="preserve">, you must grant permission for </w:t>
      </w:r>
      <w:hyperlink r:id="rId17" w:history="1">
        <w:r w:rsidRPr="00F63288">
          <w:rPr>
            <w:rStyle w:val="Hyperlink"/>
            <w:b/>
          </w:rPr>
          <w:t>scott.kizner@doe.virginia.gov</w:t>
        </w:r>
      </w:hyperlink>
      <w:r w:rsidRPr="00F63288">
        <w:rPr>
          <w:b/>
        </w:rPr>
        <w:t xml:space="preserve"> to access your Google Drive parent folder.*</w:t>
      </w:r>
    </w:p>
    <w:p w14:paraId="100890E1" w14:textId="77777777" w:rsidR="00EE4E56" w:rsidRDefault="00EE4E56">
      <w:pPr>
        <w:rPr>
          <w:b/>
          <w:sz w:val="24"/>
          <w:szCs w:val="24"/>
        </w:rPr>
      </w:pPr>
      <w:r>
        <w:br w:type="page"/>
      </w:r>
    </w:p>
    <w:p w14:paraId="45CFF81C" w14:textId="25D5A9E8" w:rsidR="00096A16" w:rsidRDefault="00A324F0" w:rsidP="00A735DE">
      <w:pPr>
        <w:pStyle w:val="Heading1"/>
        <w:rPr>
          <w:sz w:val="16"/>
          <w:szCs w:val="16"/>
        </w:rPr>
      </w:pPr>
      <w:r>
        <w:lastRenderedPageBreak/>
        <w:t>SOQ Standards for Verification</w:t>
      </w:r>
      <w:r w:rsidR="00B40857">
        <w:t xml:space="preserve"> Documentation</w:t>
      </w:r>
      <w:r>
        <w:br/>
      </w:r>
    </w:p>
    <w:tbl>
      <w:tblPr>
        <w:tblStyle w:val="a1"/>
        <w:tblW w:w="11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OQ Standards for Verification Documentation"/>
        <w:tblDescription w:val="List of SOQ Standards for Verification Documentation"/>
      </w:tblPr>
      <w:tblGrid>
        <w:gridCol w:w="1725"/>
        <w:gridCol w:w="1725"/>
        <w:gridCol w:w="4470"/>
        <w:gridCol w:w="3935"/>
      </w:tblGrid>
      <w:tr w:rsidR="00C07EB1" w14:paraId="4E2B8CF1" w14:textId="77777777" w:rsidTr="003351E9">
        <w:trPr>
          <w:tblHeader/>
          <w:jc w:val="center"/>
        </w:trPr>
        <w:tc>
          <w:tcPr>
            <w:tcW w:w="1725"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3ED38045" w14:textId="5AF91DD2" w:rsidR="00C07EB1" w:rsidRDefault="005C52E0">
            <w:pPr>
              <w:widowControl w:val="0"/>
              <w:pBdr>
                <w:top w:val="nil"/>
                <w:left w:val="nil"/>
                <w:bottom w:val="nil"/>
                <w:right w:val="nil"/>
                <w:between w:val="nil"/>
              </w:pBdr>
              <w:spacing w:line="240" w:lineRule="auto"/>
              <w:jc w:val="center"/>
              <w:rPr>
                <w:sz w:val="16"/>
                <w:szCs w:val="16"/>
              </w:rPr>
            </w:pPr>
            <w:r>
              <w:rPr>
                <w:sz w:val="16"/>
                <w:szCs w:val="16"/>
              </w:rPr>
              <w:t>SUB</w:t>
            </w:r>
            <w:r w:rsidR="00C07EB1">
              <w:rPr>
                <w:sz w:val="16"/>
                <w:szCs w:val="16"/>
              </w:rPr>
              <w:t>FOLDER TITLE</w:t>
            </w:r>
          </w:p>
        </w:tc>
        <w:tc>
          <w:tcPr>
            <w:tcW w:w="1725"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566E273B" w14:textId="3B1C1161" w:rsidR="00C07EB1" w:rsidRDefault="00C07EB1">
            <w:pPr>
              <w:widowControl w:val="0"/>
              <w:pBdr>
                <w:top w:val="nil"/>
                <w:left w:val="nil"/>
                <w:bottom w:val="nil"/>
                <w:right w:val="nil"/>
                <w:between w:val="nil"/>
              </w:pBdr>
              <w:spacing w:line="240" w:lineRule="auto"/>
              <w:jc w:val="center"/>
              <w:rPr>
                <w:sz w:val="16"/>
                <w:szCs w:val="16"/>
              </w:rPr>
            </w:pPr>
            <w:r>
              <w:rPr>
                <w:sz w:val="16"/>
                <w:szCs w:val="16"/>
              </w:rPr>
              <w:t>SOQ CITATION</w:t>
            </w:r>
          </w:p>
        </w:tc>
        <w:tc>
          <w:tcPr>
            <w:tcW w:w="447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5AE3F333" w14:textId="77777777" w:rsidR="00C07EB1" w:rsidRDefault="00C07EB1">
            <w:pPr>
              <w:widowControl w:val="0"/>
              <w:pBdr>
                <w:top w:val="nil"/>
                <w:left w:val="nil"/>
                <w:bottom w:val="nil"/>
                <w:right w:val="nil"/>
                <w:between w:val="nil"/>
              </w:pBdr>
              <w:spacing w:line="240" w:lineRule="auto"/>
              <w:jc w:val="center"/>
              <w:rPr>
                <w:sz w:val="16"/>
                <w:szCs w:val="16"/>
              </w:rPr>
            </w:pPr>
            <w:r>
              <w:rPr>
                <w:sz w:val="16"/>
                <w:szCs w:val="16"/>
              </w:rPr>
              <w:t>STANDARDS OF QUALITY LANGUAGE</w:t>
            </w:r>
          </w:p>
        </w:tc>
        <w:tc>
          <w:tcPr>
            <w:tcW w:w="3935"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75F5D386" w14:textId="77777777" w:rsidR="00C07EB1" w:rsidRDefault="00C07EB1">
            <w:pPr>
              <w:widowControl w:val="0"/>
              <w:pBdr>
                <w:top w:val="nil"/>
                <w:left w:val="nil"/>
                <w:bottom w:val="nil"/>
                <w:right w:val="nil"/>
                <w:between w:val="nil"/>
              </w:pBdr>
              <w:spacing w:line="240" w:lineRule="auto"/>
              <w:jc w:val="center"/>
              <w:rPr>
                <w:sz w:val="16"/>
                <w:szCs w:val="16"/>
              </w:rPr>
            </w:pPr>
            <w:r w:rsidRPr="00EE4E56">
              <w:rPr>
                <w:i/>
                <w:iCs/>
                <w:sz w:val="16"/>
                <w:szCs w:val="16"/>
              </w:rPr>
              <w:t>SUGGESTED</w:t>
            </w:r>
            <w:r>
              <w:rPr>
                <w:sz w:val="16"/>
                <w:szCs w:val="16"/>
              </w:rPr>
              <w:t xml:space="preserve"> EVIDENCE FOR VERIFICATION</w:t>
            </w:r>
          </w:p>
        </w:tc>
      </w:tr>
      <w:tr w:rsidR="00C07EB1" w14:paraId="3EEEC146" w14:textId="77777777" w:rsidTr="00C07EB1">
        <w:trPr>
          <w:jc w:val="center"/>
        </w:trPr>
        <w:tc>
          <w:tcPr>
            <w:tcW w:w="1725" w:type="dxa"/>
            <w:tcBorders>
              <w:top w:val="single" w:sz="12" w:space="0" w:color="000000"/>
            </w:tcBorders>
            <w:shd w:val="clear" w:color="auto" w:fill="FFFFFF"/>
            <w:vAlign w:val="center"/>
          </w:tcPr>
          <w:p w14:paraId="5A3229A5" w14:textId="1AF93136" w:rsidR="00C07EB1" w:rsidRPr="00C07EB1" w:rsidRDefault="00C07EB1" w:rsidP="00C07EB1">
            <w:pPr>
              <w:widowControl w:val="0"/>
              <w:spacing w:line="240" w:lineRule="auto"/>
              <w:jc w:val="center"/>
              <w:rPr>
                <w:b/>
                <w:sz w:val="16"/>
                <w:szCs w:val="16"/>
              </w:rPr>
            </w:pPr>
            <w:r w:rsidRPr="00C07EB1">
              <w:rPr>
                <w:b/>
                <w:sz w:val="16"/>
                <w:szCs w:val="16"/>
              </w:rPr>
              <w:t>1. At-Risk Plan</w:t>
            </w:r>
          </w:p>
        </w:tc>
        <w:tc>
          <w:tcPr>
            <w:tcW w:w="1725" w:type="dxa"/>
            <w:tcBorders>
              <w:top w:val="single" w:sz="12" w:space="0" w:color="000000"/>
            </w:tcBorders>
            <w:shd w:val="clear" w:color="auto" w:fill="FFFFFF"/>
            <w:tcMar>
              <w:top w:w="40" w:type="dxa"/>
              <w:left w:w="40" w:type="dxa"/>
              <w:bottom w:w="40" w:type="dxa"/>
              <w:right w:w="40" w:type="dxa"/>
            </w:tcMar>
            <w:vAlign w:val="center"/>
          </w:tcPr>
          <w:p w14:paraId="77CAD470" w14:textId="52EC9C39" w:rsidR="00C07EB1" w:rsidRDefault="00C07EB1">
            <w:pPr>
              <w:widowControl w:val="0"/>
              <w:spacing w:line="240" w:lineRule="auto"/>
              <w:jc w:val="center"/>
              <w:rPr>
                <w:sz w:val="16"/>
                <w:szCs w:val="16"/>
              </w:rPr>
            </w:pPr>
            <w:r>
              <w:rPr>
                <w:sz w:val="16"/>
                <w:szCs w:val="16"/>
              </w:rPr>
              <w:t xml:space="preserve">§ </w:t>
            </w:r>
            <w:hyperlink r:id="rId18">
              <w:r>
                <w:rPr>
                  <w:color w:val="1155CC"/>
                  <w:sz w:val="16"/>
                  <w:szCs w:val="16"/>
                  <w:u w:val="single"/>
                </w:rPr>
                <w:t>22.1-253.13:1(D)(9)</w:t>
              </w:r>
            </w:hyperlink>
          </w:p>
        </w:tc>
        <w:tc>
          <w:tcPr>
            <w:tcW w:w="4470" w:type="dxa"/>
            <w:tcBorders>
              <w:top w:val="single" w:sz="12" w:space="0" w:color="000000"/>
            </w:tcBorders>
            <w:shd w:val="clear" w:color="auto" w:fill="FFFFFF"/>
            <w:tcMar>
              <w:top w:w="40" w:type="dxa"/>
              <w:left w:w="40" w:type="dxa"/>
              <w:bottom w:w="40" w:type="dxa"/>
              <w:right w:w="40" w:type="dxa"/>
            </w:tcMar>
            <w:vAlign w:val="center"/>
          </w:tcPr>
          <w:p w14:paraId="3B44B331" w14:textId="77777777" w:rsidR="00C07EB1" w:rsidRDefault="00C07EB1">
            <w:pPr>
              <w:widowControl w:val="0"/>
              <w:spacing w:line="240" w:lineRule="auto"/>
              <w:rPr>
                <w:sz w:val="16"/>
                <w:szCs w:val="16"/>
              </w:rPr>
            </w:pPr>
            <w:r>
              <w:rPr>
                <w:b/>
                <w:sz w:val="16"/>
                <w:szCs w:val="16"/>
              </w:rPr>
              <w:t>At-Risk Plan</w:t>
            </w:r>
            <w:r>
              <w:rPr>
                <w:sz w:val="16"/>
                <w:szCs w:val="16"/>
              </w:rPr>
              <w:t>: Local school boards must implement a plan to make achievement for students who are educationally at risk a division-wide priority that includes procedures for measuring the progress of such students.</w:t>
            </w:r>
          </w:p>
        </w:tc>
        <w:tc>
          <w:tcPr>
            <w:tcW w:w="3935" w:type="dxa"/>
            <w:tcBorders>
              <w:top w:val="single" w:sz="12" w:space="0" w:color="000000"/>
            </w:tcBorders>
            <w:shd w:val="clear" w:color="auto" w:fill="auto"/>
            <w:tcMar>
              <w:top w:w="100" w:type="dxa"/>
              <w:left w:w="100" w:type="dxa"/>
              <w:bottom w:w="100" w:type="dxa"/>
              <w:right w:w="100" w:type="dxa"/>
            </w:tcMar>
            <w:vAlign w:val="center"/>
          </w:tcPr>
          <w:p w14:paraId="559B24DC" w14:textId="77777777" w:rsidR="00C07EB1" w:rsidRDefault="00C07EB1">
            <w:pPr>
              <w:widowControl w:val="0"/>
              <w:spacing w:line="240" w:lineRule="auto"/>
              <w:rPr>
                <w:sz w:val="16"/>
                <w:szCs w:val="16"/>
              </w:rPr>
            </w:pPr>
            <w:r>
              <w:rPr>
                <w:sz w:val="16"/>
                <w:szCs w:val="16"/>
              </w:rPr>
              <w:t>Provide an at-risk achievement plan that addresses achievement gaps and accelerated learning.</w:t>
            </w:r>
          </w:p>
        </w:tc>
      </w:tr>
      <w:tr w:rsidR="00C07EB1" w14:paraId="2B9C76C7" w14:textId="77777777" w:rsidTr="00C07EB1">
        <w:trPr>
          <w:jc w:val="center"/>
        </w:trPr>
        <w:tc>
          <w:tcPr>
            <w:tcW w:w="1725" w:type="dxa"/>
            <w:shd w:val="clear" w:color="auto" w:fill="FFFFFF"/>
            <w:vAlign w:val="center"/>
          </w:tcPr>
          <w:p w14:paraId="7FF3782A" w14:textId="466CED94" w:rsidR="00C07EB1" w:rsidRPr="00C07EB1" w:rsidRDefault="00C07EB1">
            <w:pPr>
              <w:widowControl w:val="0"/>
              <w:spacing w:line="240" w:lineRule="auto"/>
              <w:jc w:val="center"/>
              <w:rPr>
                <w:b/>
                <w:sz w:val="16"/>
                <w:szCs w:val="16"/>
              </w:rPr>
            </w:pPr>
            <w:r w:rsidRPr="00C07EB1">
              <w:rPr>
                <w:b/>
                <w:sz w:val="16"/>
                <w:szCs w:val="16"/>
              </w:rPr>
              <w:t>2. Elementary Art/Music/PE</w:t>
            </w:r>
          </w:p>
        </w:tc>
        <w:tc>
          <w:tcPr>
            <w:tcW w:w="1725" w:type="dxa"/>
            <w:shd w:val="clear" w:color="auto" w:fill="FFFFFF"/>
            <w:tcMar>
              <w:top w:w="40" w:type="dxa"/>
              <w:left w:w="40" w:type="dxa"/>
              <w:bottom w:w="40" w:type="dxa"/>
              <w:right w:w="40" w:type="dxa"/>
            </w:tcMar>
            <w:vAlign w:val="center"/>
          </w:tcPr>
          <w:p w14:paraId="4080485A" w14:textId="51749135" w:rsidR="00C07EB1" w:rsidRDefault="00C07EB1">
            <w:pPr>
              <w:widowControl w:val="0"/>
              <w:spacing w:line="240" w:lineRule="auto"/>
              <w:jc w:val="center"/>
              <w:rPr>
                <w:sz w:val="16"/>
                <w:szCs w:val="16"/>
              </w:rPr>
            </w:pPr>
            <w:r>
              <w:rPr>
                <w:sz w:val="16"/>
                <w:szCs w:val="16"/>
              </w:rPr>
              <w:t xml:space="preserve">§ </w:t>
            </w:r>
            <w:hyperlink r:id="rId19">
              <w:r>
                <w:rPr>
                  <w:color w:val="1155CC"/>
                  <w:sz w:val="16"/>
                  <w:szCs w:val="16"/>
                  <w:u w:val="single"/>
                </w:rPr>
                <w:t>22.1-253.13:1(D)(14)</w:t>
              </w:r>
            </w:hyperlink>
          </w:p>
        </w:tc>
        <w:tc>
          <w:tcPr>
            <w:tcW w:w="4470" w:type="dxa"/>
            <w:shd w:val="clear" w:color="auto" w:fill="FFFFFF"/>
            <w:tcMar>
              <w:top w:w="40" w:type="dxa"/>
              <w:left w:w="40" w:type="dxa"/>
              <w:bottom w:w="40" w:type="dxa"/>
              <w:right w:w="40" w:type="dxa"/>
            </w:tcMar>
            <w:vAlign w:val="center"/>
          </w:tcPr>
          <w:p w14:paraId="14647D30" w14:textId="77777777" w:rsidR="00C07EB1" w:rsidRDefault="00C07EB1">
            <w:pPr>
              <w:widowControl w:val="0"/>
              <w:spacing w:line="240" w:lineRule="auto"/>
              <w:rPr>
                <w:sz w:val="16"/>
                <w:szCs w:val="16"/>
              </w:rPr>
            </w:pPr>
            <w:r>
              <w:rPr>
                <w:b/>
                <w:sz w:val="16"/>
                <w:szCs w:val="16"/>
              </w:rPr>
              <w:t>Elementary Art/Music/PE</w:t>
            </w:r>
            <w:r>
              <w:rPr>
                <w:sz w:val="16"/>
                <w:szCs w:val="16"/>
              </w:rPr>
              <w:t>: Local school boards must incorporate art, music, and physical education as a part of the instructional program at the elementary school level.</w:t>
            </w:r>
          </w:p>
        </w:tc>
        <w:tc>
          <w:tcPr>
            <w:tcW w:w="3935" w:type="dxa"/>
            <w:shd w:val="clear" w:color="auto" w:fill="auto"/>
            <w:tcMar>
              <w:top w:w="100" w:type="dxa"/>
              <w:left w:w="100" w:type="dxa"/>
              <w:bottom w:w="100" w:type="dxa"/>
              <w:right w:w="100" w:type="dxa"/>
            </w:tcMar>
            <w:vAlign w:val="center"/>
          </w:tcPr>
          <w:p w14:paraId="6E2361C4" w14:textId="77777777" w:rsidR="00C07EB1" w:rsidRDefault="00C07EB1">
            <w:pPr>
              <w:widowControl w:val="0"/>
              <w:spacing w:line="240" w:lineRule="auto"/>
              <w:rPr>
                <w:sz w:val="16"/>
                <w:szCs w:val="16"/>
              </w:rPr>
            </w:pPr>
            <w:r>
              <w:rPr>
                <w:sz w:val="16"/>
                <w:szCs w:val="16"/>
              </w:rPr>
              <w:t>Provide sample elementary school schedules, one for 1st, 3rd, and 5th grade (total of 3 sample schedules).</w:t>
            </w:r>
          </w:p>
        </w:tc>
      </w:tr>
      <w:tr w:rsidR="00C07EB1" w14:paraId="37C86695" w14:textId="77777777" w:rsidTr="00C07EB1">
        <w:trPr>
          <w:trHeight w:val="1158"/>
          <w:jc w:val="center"/>
        </w:trPr>
        <w:tc>
          <w:tcPr>
            <w:tcW w:w="1725" w:type="dxa"/>
            <w:shd w:val="clear" w:color="auto" w:fill="FFFFFF"/>
            <w:vAlign w:val="center"/>
          </w:tcPr>
          <w:p w14:paraId="0BD5F9B0" w14:textId="76BB4425" w:rsidR="00C07EB1" w:rsidRPr="00C07EB1" w:rsidRDefault="00C07EB1">
            <w:pPr>
              <w:widowControl w:val="0"/>
              <w:spacing w:line="240" w:lineRule="auto"/>
              <w:jc w:val="center"/>
              <w:rPr>
                <w:b/>
                <w:sz w:val="16"/>
                <w:szCs w:val="16"/>
              </w:rPr>
            </w:pPr>
            <w:r w:rsidRPr="00C07EB1">
              <w:rPr>
                <w:b/>
                <w:sz w:val="16"/>
                <w:szCs w:val="16"/>
              </w:rPr>
              <w:t>3. Kindergarten Teacher’s Aides</w:t>
            </w:r>
          </w:p>
        </w:tc>
        <w:tc>
          <w:tcPr>
            <w:tcW w:w="1725" w:type="dxa"/>
            <w:shd w:val="clear" w:color="auto" w:fill="FFFFFF"/>
            <w:tcMar>
              <w:top w:w="40" w:type="dxa"/>
              <w:left w:w="40" w:type="dxa"/>
              <w:bottom w:w="40" w:type="dxa"/>
              <w:right w:w="40" w:type="dxa"/>
            </w:tcMar>
            <w:vAlign w:val="center"/>
          </w:tcPr>
          <w:p w14:paraId="2C856B6A" w14:textId="3A55E243" w:rsidR="00C07EB1" w:rsidRDefault="00C07EB1">
            <w:pPr>
              <w:widowControl w:val="0"/>
              <w:spacing w:line="240" w:lineRule="auto"/>
              <w:jc w:val="center"/>
              <w:rPr>
                <w:sz w:val="16"/>
                <w:szCs w:val="16"/>
              </w:rPr>
            </w:pPr>
            <w:r>
              <w:rPr>
                <w:sz w:val="16"/>
                <w:szCs w:val="16"/>
              </w:rPr>
              <w:t xml:space="preserve">§ </w:t>
            </w:r>
            <w:hyperlink r:id="rId20">
              <w:r>
                <w:rPr>
                  <w:color w:val="1155CC"/>
                  <w:sz w:val="16"/>
                  <w:szCs w:val="16"/>
                  <w:u w:val="single"/>
                </w:rPr>
                <w:t>22.1-253.13:2(C)</w:t>
              </w:r>
            </w:hyperlink>
          </w:p>
        </w:tc>
        <w:tc>
          <w:tcPr>
            <w:tcW w:w="4470" w:type="dxa"/>
            <w:shd w:val="clear" w:color="auto" w:fill="FFFFFF"/>
            <w:tcMar>
              <w:top w:w="40" w:type="dxa"/>
              <w:left w:w="40" w:type="dxa"/>
              <w:bottom w:w="40" w:type="dxa"/>
              <w:right w:w="40" w:type="dxa"/>
            </w:tcMar>
            <w:vAlign w:val="center"/>
          </w:tcPr>
          <w:p w14:paraId="1576810D" w14:textId="77777777" w:rsidR="00C07EB1" w:rsidRDefault="00C07EB1">
            <w:pPr>
              <w:widowControl w:val="0"/>
              <w:spacing w:line="240" w:lineRule="auto"/>
              <w:rPr>
                <w:i/>
                <w:sz w:val="16"/>
                <w:szCs w:val="16"/>
              </w:rPr>
            </w:pPr>
            <w:r>
              <w:rPr>
                <w:b/>
                <w:sz w:val="16"/>
                <w:szCs w:val="16"/>
              </w:rPr>
              <w:t>Kindergarten Teacher’s Aides</w:t>
            </w:r>
            <w:r>
              <w:rPr>
                <w:sz w:val="16"/>
                <w:szCs w:val="16"/>
              </w:rPr>
              <w:t xml:space="preserve">: Each school board shall assign licensed instructional personnel in a manner that produces divisionwide ratios of students to full-time equivalent teaching positions that are not greater than 24 to one in kindergarten, with no class being larger than 29 students. </w:t>
            </w:r>
            <w:r>
              <w:rPr>
                <w:i/>
                <w:sz w:val="16"/>
                <w:szCs w:val="16"/>
                <w:u w:val="single"/>
              </w:rPr>
              <w:t>If the average daily membership in any kindergarten class exceeds 24 pupils, a full-time teacher's aide shall be assigned to the class.</w:t>
            </w:r>
          </w:p>
        </w:tc>
        <w:tc>
          <w:tcPr>
            <w:tcW w:w="3935" w:type="dxa"/>
            <w:shd w:val="clear" w:color="auto" w:fill="auto"/>
            <w:tcMar>
              <w:top w:w="100" w:type="dxa"/>
              <w:left w:w="100" w:type="dxa"/>
              <w:bottom w:w="100" w:type="dxa"/>
              <w:right w:w="100" w:type="dxa"/>
            </w:tcMar>
            <w:vAlign w:val="center"/>
          </w:tcPr>
          <w:p w14:paraId="7E418465" w14:textId="77777777" w:rsidR="00C07EB1" w:rsidRDefault="00C07EB1">
            <w:pPr>
              <w:widowControl w:val="0"/>
              <w:spacing w:line="240" w:lineRule="auto"/>
              <w:rPr>
                <w:sz w:val="16"/>
                <w:szCs w:val="16"/>
              </w:rPr>
            </w:pPr>
            <w:r>
              <w:rPr>
                <w:sz w:val="16"/>
                <w:szCs w:val="16"/>
              </w:rPr>
              <w:t>Provide evidence of a full-time teacher’s aide assignment for each kindergarten class with more than 24 pupils.</w:t>
            </w:r>
          </w:p>
        </w:tc>
      </w:tr>
      <w:tr w:rsidR="00C07EB1" w14:paraId="724ECE1A" w14:textId="77777777" w:rsidTr="00C07EB1">
        <w:trPr>
          <w:jc w:val="center"/>
        </w:trPr>
        <w:tc>
          <w:tcPr>
            <w:tcW w:w="1725" w:type="dxa"/>
            <w:shd w:val="clear" w:color="auto" w:fill="FFFFFF"/>
            <w:vAlign w:val="center"/>
          </w:tcPr>
          <w:p w14:paraId="4F52438D" w14:textId="09C3B7EE" w:rsidR="00C07EB1" w:rsidRPr="00C07EB1" w:rsidRDefault="00C07EB1">
            <w:pPr>
              <w:widowControl w:val="0"/>
              <w:spacing w:line="240" w:lineRule="auto"/>
              <w:jc w:val="center"/>
              <w:rPr>
                <w:b/>
                <w:sz w:val="16"/>
                <w:szCs w:val="16"/>
              </w:rPr>
            </w:pPr>
            <w:r w:rsidRPr="00C07EB1">
              <w:rPr>
                <w:b/>
                <w:sz w:val="16"/>
                <w:szCs w:val="16"/>
              </w:rPr>
              <w:t>4. Class Size Notification</w:t>
            </w:r>
          </w:p>
        </w:tc>
        <w:tc>
          <w:tcPr>
            <w:tcW w:w="1725" w:type="dxa"/>
            <w:shd w:val="clear" w:color="auto" w:fill="FFFFFF"/>
            <w:tcMar>
              <w:top w:w="40" w:type="dxa"/>
              <w:left w:w="40" w:type="dxa"/>
              <w:bottom w:w="40" w:type="dxa"/>
              <w:right w:w="40" w:type="dxa"/>
            </w:tcMar>
            <w:vAlign w:val="center"/>
          </w:tcPr>
          <w:p w14:paraId="1E143A06" w14:textId="2AD88425" w:rsidR="00C07EB1" w:rsidRDefault="00C07EB1">
            <w:pPr>
              <w:widowControl w:val="0"/>
              <w:spacing w:line="240" w:lineRule="auto"/>
              <w:jc w:val="center"/>
              <w:rPr>
                <w:sz w:val="16"/>
                <w:szCs w:val="16"/>
              </w:rPr>
            </w:pPr>
            <w:r>
              <w:rPr>
                <w:sz w:val="16"/>
                <w:szCs w:val="16"/>
              </w:rPr>
              <w:t xml:space="preserve">§ </w:t>
            </w:r>
            <w:hyperlink r:id="rId21">
              <w:r>
                <w:rPr>
                  <w:color w:val="1155CC"/>
                  <w:sz w:val="16"/>
                  <w:szCs w:val="16"/>
                  <w:u w:val="single"/>
                </w:rPr>
                <w:t>22.1-253.13:2(C)</w:t>
              </w:r>
            </w:hyperlink>
          </w:p>
        </w:tc>
        <w:tc>
          <w:tcPr>
            <w:tcW w:w="4470" w:type="dxa"/>
            <w:shd w:val="clear" w:color="auto" w:fill="FFFFFF"/>
            <w:tcMar>
              <w:top w:w="40" w:type="dxa"/>
              <w:left w:w="40" w:type="dxa"/>
              <w:bottom w:w="40" w:type="dxa"/>
              <w:right w:w="40" w:type="dxa"/>
            </w:tcMar>
            <w:vAlign w:val="center"/>
          </w:tcPr>
          <w:p w14:paraId="0902AE22" w14:textId="77777777" w:rsidR="00C07EB1" w:rsidRDefault="00C07EB1">
            <w:pPr>
              <w:widowControl w:val="0"/>
              <w:spacing w:line="240" w:lineRule="auto"/>
              <w:rPr>
                <w:sz w:val="16"/>
                <w:szCs w:val="16"/>
              </w:rPr>
            </w:pPr>
            <w:r>
              <w:rPr>
                <w:b/>
                <w:sz w:val="16"/>
                <w:szCs w:val="16"/>
              </w:rPr>
              <w:t>Class Size Notification</w:t>
            </w:r>
            <w:r>
              <w:rPr>
                <w:sz w:val="16"/>
                <w:szCs w:val="16"/>
              </w:rPr>
              <w:t>: After September 30 of the school year, anytime the number of students in a class exceeds the class size limit established in Standard 2, the local school division has notified the parent of each student in such class of such fact no later than 10 days after the date on which the class exceeded the class size limit. Such notification states the reason that the class size exceeds the class size limit and describes the measures that the local school division will take to reduce the class size to comply.</w:t>
            </w:r>
          </w:p>
        </w:tc>
        <w:tc>
          <w:tcPr>
            <w:tcW w:w="3935" w:type="dxa"/>
            <w:shd w:val="clear" w:color="auto" w:fill="auto"/>
            <w:tcMar>
              <w:top w:w="100" w:type="dxa"/>
              <w:left w:w="100" w:type="dxa"/>
              <w:bottom w:w="100" w:type="dxa"/>
              <w:right w:w="100" w:type="dxa"/>
            </w:tcMar>
            <w:vAlign w:val="center"/>
          </w:tcPr>
          <w:p w14:paraId="46DEF96F" w14:textId="77777777" w:rsidR="00C07EB1" w:rsidRDefault="00C07EB1">
            <w:pPr>
              <w:widowControl w:val="0"/>
              <w:spacing w:line="240" w:lineRule="auto"/>
              <w:rPr>
                <w:sz w:val="16"/>
                <w:szCs w:val="16"/>
              </w:rPr>
            </w:pPr>
            <w:r>
              <w:rPr>
                <w:sz w:val="16"/>
                <w:szCs w:val="16"/>
              </w:rPr>
              <w:t>Provide a sample notification letter that was sent for classes that exceeded the ratio in the 2020-2021 school year. If available, please provide evidence that the correspondence was sent to appropriate parents.</w:t>
            </w:r>
          </w:p>
        </w:tc>
      </w:tr>
      <w:tr w:rsidR="00C07EB1" w14:paraId="241F641A" w14:textId="77777777" w:rsidTr="00C07EB1">
        <w:trPr>
          <w:jc w:val="center"/>
        </w:trPr>
        <w:tc>
          <w:tcPr>
            <w:tcW w:w="1725" w:type="dxa"/>
            <w:shd w:val="clear" w:color="auto" w:fill="FFFFFF"/>
            <w:vAlign w:val="center"/>
          </w:tcPr>
          <w:p w14:paraId="025ADA1E" w14:textId="339588E0" w:rsidR="00C07EB1" w:rsidRPr="00C07EB1" w:rsidRDefault="00C07EB1">
            <w:pPr>
              <w:widowControl w:val="0"/>
              <w:spacing w:line="240" w:lineRule="auto"/>
              <w:jc w:val="center"/>
              <w:rPr>
                <w:b/>
                <w:sz w:val="16"/>
                <w:szCs w:val="16"/>
              </w:rPr>
            </w:pPr>
            <w:r w:rsidRPr="00C07EB1">
              <w:rPr>
                <w:b/>
                <w:sz w:val="16"/>
                <w:szCs w:val="16"/>
              </w:rPr>
              <w:t>5. Planning Periods</w:t>
            </w:r>
          </w:p>
        </w:tc>
        <w:tc>
          <w:tcPr>
            <w:tcW w:w="1725" w:type="dxa"/>
            <w:shd w:val="clear" w:color="auto" w:fill="FFFFFF"/>
            <w:tcMar>
              <w:top w:w="40" w:type="dxa"/>
              <w:left w:w="40" w:type="dxa"/>
              <w:bottom w:w="40" w:type="dxa"/>
              <w:right w:w="40" w:type="dxa"/>
            </w:tcMar>
            <w:vAlign w:val="center"/>
          </w:tcPr>
          <w:p w14:paraId="5445BF51" w14:textId="21F65656" w:rsidR="00C07EB1" w:rsidRDefault="00C07EB1">
            <w:pPr>
              <w:widowControl w:val="0"/>
              <w:spacing w:line="240" w:lineRule="auto"/>
              <w:jc w:val="center"/>
              <w:rPr>
                <w:sz w:val="16"/>
                <w:szCs w:val="16"/>
              </w:rPr>
            </w:pPr>
            <w:r>
              <w:rPr>
                <w:sz w:val="16"/>
                <w:szCs w:val="16"/>
              </w:rPr>
              <w:t xml:space="preserve">§ </w:t>
            </w:r>
            <w:hyperlink r:id="rId22">
              <w:r>
                <w:rPr>
                  <w:color w:val="1155CC"/>
                  <w:sz w:val="16"/>
                  <w:szCs w:val="16"/>
                  <w:u w:val="single"/>
                </w:rPr>
                <w:t>22.1-253.13:2(C)</w:t>
              </w:r>
            </w:hyperlink>
          </w:p>
        </w:tc>
        <w:tc>
          <w:tcPr>
            <w:tcW w:w="4470" w:type="dxa"/>
            <w:shd w:val="clear" w:color="auto" w:fill="FFFFFF"/>
            <w:tcMar>
              <w:top w:w="40" w:type="dxa"/>
              <w:left w:w="40" w:type="dxa"/>
              <w:bottom w:w="40" w:type="dxa"/>
              <w:right w:w="40" w:type="dxa"/>
            </w:tcMar>
            <w:vAlign w:val="center"/>
          </w:tcPr>
          <w:p w14:paraId="12C97AA5" w14:textId="77777777" w:rsidR="00C07EB1" w:rsidRDefault="00C07EB1">
            <w:pPr>
              <w:widowControl w:val="0"/>
              <w:spacing w:line="240" w:lineRule="auto"/>
              <w:rPr>
                <w:sz w:val="16"/>
                <w:szCs w:val="16"/>
              </w:rPr>
            </w:pPr>
            <w:r>
              <w:rPr>
                <w:b/>
                <w:sz w:val="16"/>
                <w:szCs w:val="16"/>
              </w:rPr>
              <w:t>Planning Periods</w:t>
            </w:r>
            <w:r>
              <w:rPr>
                <w:sz w:val="16"/>
                <w:szCs w:val="16"/>
              </w:rPr>
              <w:t>: The school division provides all middle and high school teachers with one planning period per day or the equivalent, unencumbered of any teaching or supervisory duties.</w:t>
            </w:r>
          </w:p>
        </w:tc>
        <w:tc>
          <w:tcPr>
            <w:tcW w:w="3935" w:type="dxa"/>
            <w:shd w:val="clear" w:color="auto" w:fill="auto"/>
            <w:tcMar>
              <w:top w:w="100" w:type="dxa"/>
              <w:left w:w="100" w:type="dxa"/>
              <w:bottom w:w="100" w:type="dxa"/>
              <w:right w:w="100" w:type="dxa"/>
            </w:tcMar>
            <w:vAlign w:val="center"/>
          </w:tcPr>
          <w:p w14:paraId="5672B4DA" w14:textId="77777777" w:rsidR="00C07EB1" w:rsidRDefault="00C07EB1">
            <w:pPr>
              <w:widowControl w:val="0"/>
              <w:spacing w:line="240" w:lineRule="auto"/>
              <w:rPr>
                <w:sz w:val="16"/>
                <w:szCs w:val="16"/>
              </w:rPr>
            </w:pPr>
            <w:r>
              <w:rPr>
                <w:sz w:val="16"/>
                <w:szCs w:val="16"/>
              </w:rPr>
              <w:t>Provide samples of two middle and two high school teacher schedules that show designated planning period time (total of 4 sample schedules)..</w:t>
            </w:r>
          </w:p>
        </w:tc>
      </w:tr>
      <w:tr w:rsidR="00C07EB1" w14:paraId="584EB334" w14:textId="77777777" w:rsidTr="00C07EB1">
        <w:trPr>
          <w:trHeight w:val="3480"/>
          <w:jc w:val="center"/>
        </w:trPr>
        <w:tc>
          <w:tcPr>
            <w:tcW w:w="1725" w:type="dxa"/>
            <w:shd w:val="clear" w:color="auto" w:fill="FFFFFF"/>
            <w:vAlign w:val="center"/>
          </w:tcPr>
          <w:p w14:paraId="0F47317A" w14:textId="56C8A4E7" w:rsidR="00C07EB1" w:rsidRPr="00C07EB1" w:rsidRDefault="00C07EB1">
            <w:pPr>
              <w:widowControl w:val="0"/>
              <w:spacing w:line="240" w:lineRule="auto"/>
              <w:jc w:val="center"/>
              <w:rPr>
                <w:b/>
                <w:sz w:val="16"/>
                <w:szCs w:val="16"/>
              </w:rPr>
            </w:pPr>
            <w:r w:rsidRPr="00C07EB1">
              <w:rPr>
                <w:b/>
                <w:sz w:val="16"/>
                <w:szCs w:val="16"/>
              </w:rPr>
              <w:t>6. Staffing Ratios Reported</w:t>
            </w:r>
          </w:p>
        </w:tc>
        <w:tc>
          <w:tcPr>
            <w:tcW w:w="1725" w:type="dxa"/>
            <w:shd w:val="clear" w:color="auto" w:fill="FFFFFF"/>
            <w:tcMar>
              <w:top w:w="40" w:type="dxa"/>
              <w:left w:w="40" w:type="dxa"/>
              <w:bottom w:w="40" w:type="dxa"/>
              <w:right w:w="40" w:type="dxa"/>
            </w:tcMar>
            <w:vAlign w:val="center"/>
          </w:tcPr>
          <w:p w14:paraId="63500306" w14:textId="726E5F34" w:rsidR="00C07EB1" w:rsidRDefault="00C07EB1">
            <w:pPr>
              <w:widowControl w:val="0"/>
              <w:spacing w:line="240" w:lineRule="auto"/>
              <w:jc w:val="center"/>
              <w:rPr>
                <w:sz w:val="16"/>
                <w:szCs w:val="16"/>
              </w:rPr>
            </w:pPr>
            <w:r>
              <w:rPr>
                <w:sz w:val="16"/>
                <w:szCs w:val="16"/>
              </w:rPr>
              <w:t xml:space="preserve">§ </w:t>
            </w:r>
            <w:hyperlink r:id="rId23">
              <w:r>
                <w:rPr>
                  <w:color w:val="1155CC"/>
                  <w:sz w:val="16"/>
                  <w:szCs w:val="16"/>
                  <w:u w:val="single"/>
                </w:rPr>
                <w:t>22.1-253.13:2(M)</w:t>
              </w:r>
            </w:hyperlink>
          </w:p>
        </w:tc>
        <w:tc>
          <w:tcPr>
            <w:tcW w:w="4470" w:type="dxa"/>
            <w:shd w:val="clear" w:color="auto" w:fill="FFFFFF"/>
            <w:tcMar>
              <w:top w:w="40" w:type="dxa"/>
              <w:left w:w="40" w:type="dxa"/>
              <w:bottom w:w="40" w:type="dxa"/>
              <w:right w:w="40" w:type="dxa"/>
            </w:tcMar>
            <w:vAlign w:val="center"/>
          </w:tcPr>
          <w:p w14:paraId="0F90E542" w14:textId="77777777" w:rsidR="00C07EB1" w:rsidRDefault="00C07EB1">
            <w:pPr>
              <w:widowControl w:val="0"/>
              <w:spacing w:line="240" w:lineRule="auto"/>
              <w:rPr>
                <w:sz w:val="16"/>
                <w:szCs w:val="16"/>
              </w:rPr>
            </w:pPr>
            <w:r>
              <w:rPr>
                <w:b/>
                <w:sz w:val="16"/>
                <w:szCs w:val="16"/>
              </w:rPr>
              <w:t>Staffing Ratios Reported</w:t>
            </w:r>
            <w:r>
              <w:rPr>
                <w:sz w:val="16"/>
                <w:szCs w:val="16"/>
              </w:rPr>
              <w:t xml:space="preserve">: The school board, annually, on or before December 31, reports to the public (i) the actual pupil/teacher ratios in elementary school classrooms in the local school division by school for the current school year; and (ii) the actual pupil/teacher ratios in middle school and high school in the local school division by school for the current school year. </w:t>
            </w:r>
          </w:p>
          <w:p w14:paraId="44B7D3EB" w14:textId="77777777" w:rsidR="00C07EB1" w:rsidRDefault="00C07EB1">
            <w:pPr>
              <w:widowControl w:val="0"/>
              <w:spacing w:line="240" w:lineRule="auto"/>
              <w:rPr>
                <w:sz w:val="16"/>
                <w:szCs w:val="16"/>
              </w:rPr>
            </w:pPr>
          </w:p>
          <w:p w14:paraId="5B49A806" w14:textId="77777777" w:rsidR="00C07EB1" w:rsidRDefault="00C07EB1">
            <w:pPr>
              <w:widowControl w:val="0"/>
              <w:spacing w:line="240" w:lineRule="auto"/>
              <w:rPr>
                <w:sz w:val="16"/>
                <w:szCs w:val="16"/>
              </w:rPr>
            </w:pPr>
            <w:r>
              <w:rPr>
                <w:sz w:val="16"/>
                <w:szCs w:val="16"/>
              </w:rPr>
              <w:t>Actual pupil/teacher ratios shall include only the teachers who teach the grade and class on a full-time basis and shall exclude resource personnel. School boards shall report pupil/teacher ratios that include resource teachers in the same annual report. Any classes funded through the voluntary kindergarten through third grade class size reduction program shall be identified as such classes. Any classes having waivers to exceed the requirements of this subsection shall also be identified. Schools shall be identified; however, the data shall be compiled in a manner to ensure the confidentiality of all teacher and pupil identities.</w:t>
            </w:r>
          </w:p>
        </w:tc>
        <w:tc>
          <w:tcPr>
            <w:tcW w:w="3935" w:type="dxa"/>
            <w:shd w:val="clear" w:color="auto" w:fill="auto"/>
            <w:tcMar>
              <w:top w:w="100" w:type="dxa"/>
              <w:left w:w="100" w:type="dxa"/>
              <w:bottom w:w="100" w:type="dxa"/>
              <w:right w:w="100" w:type="dxa"/>
            </w:tcMar>
            <w:vAlign w:val="center"/>
          </w:tcPr>
          <w:p w14:paraId="33BFDD39" w14:textId="77777777" w:rsidR="00C07EB1" w:rsidRDefault="00C07EB1">
            <w:pPr>
              <w:widowControl w:val="0"/>
              <w:spacing w:line="240" w:lineRule="auto"/>
              <w:rPr>
                <w:sz w:val="16"/>
                <w:szCs w:val="16"/>
              </w:rPr>
            </w:pPr>
          </w:p>
          <w:p w14:paraId="6296B4E3" w14:textId="77777777" w:rsidR="00C07EB1" w:rsidRDefault="00C07EB1">
            <w:pPr>
              <w:widowControl w:val="0"/>
              <w:spacing w:line="240" w:lineRule="auto"/>
              <w:rPr>
                <w:sz w:val="16"/>
                <w:szCs w:val="16"/>
              </w:rPr>
            </w:pPr>
            <w:r>
              <w:rPr>
                <w:sz w:val="16"/>
                <w:szCs w:val="16"/>
              </w:rPr>
              <w:t>Provide a link where this information is made publicly available or provide a summary of the process through which this information is made publicly available.</w:t>
            </w:r>
          </w:p>
        </w:tc>
      </w:tr>
      <w:tr w:rsidR="00C07EB1" w14:paraId="5056F0EC" w14:textId="77777777" w:rsidTr="00C07EB1">
        <w:trPr>
          <w:jc w:val="center"/>
        </w:trPr>
        <w:tc>
          <w:tcPr>
            <w:tcW w:w="1725" w:type="dxa"/>
            <w:shd w:val="clear" w:color="auto" w:fill="FFFFFF"/>
            <w:vAlign w:val="center"/>
          </w:tcPr>
          <w:p w14:paraId="2BC10BC8" w14:textId="1952868C" w:rsidR="00C07EB1" w:rsidRPr="00C07EB1" w:rsidRDefault="00C07EB1">
            <w:pPr>
              <w:widowControl w:val="0"/>
              <w:spacing w:line="240" w:lineRule="auto"/>
              <w:jc w:val="center"/>
              <w:rPr>
                <w:b/>
                <w:sz w:val="16"/>
                <w:szCs w:val="16"/>
              </w:rPr>
            </w:pPr>
            <w:r w:rsidRPr="00C07EB1">
              <w:rPr>
                <w:b/>
                <w:sz w:val="16"/>
                <w:szCs w:val="16"/>
              </w:rPr>
              <w:t>7. Assessment Results Reported</w:t>
            </w:r>
          </w:p>
        </w:tc>
        <w:tc>
          <w:tcPr>
            <w:tcW w:w="1725" w:type="dxa"/>
            <w:shd w:val="clear" w:color="auto" w:fill="FFFFFF"/>
            <w:tcMar>
              <w:top w:w="40" w:type="dxa"/>
              <w:left w:w="40" w:type="dxa"/>
              <w:bottom w:w="40" w:type="dxa"/>
              <w:right w:w="40" w:type="dxa"/>
            </w:tcMar>
            <w:vAlign w:val="center"/>
          </w:tcPr>
          <w:p w14:paraId="5E3DC428" w14:textId="3941C8CC" w:rsidR="00C07EB1" w:rsidRDefault="00C07EB1">
            <w:pPr>
              <w:widowControl w:val="0"/>
              <w:spacing w:line="240" w:lineRule="auto"/>
              <w:jc w:val="center"/>
              <w:rPr>
                <w:sz w:val="16"/>
                <w:szCs w:val="16"/>
              </w:rPr>
            </w:pPr>
            <w:r>
              <w:rPr>
                <w:sz w:val="16"/>
                <w:szCs w:val="16"/>
              </w:rPr>
              <w:t xml:space="preserve">§ </w:t>
            </w:r>
            <w:hyperlink r:id="rId24">
              <w:r>
                <w:rPr>
                  <w:color w:val="1155CC"/>
                  <w:sz w:val="16"/>
                  <w:szCs w:val="16"/>
                  <w:u w:val="single"/>
                </w:rPr>
                <w:t>22.1-253.13:3(C)</w:t>
              </w:r>
            </w:hyperlink>
          </w:p>
        </w:tc>
        <w:tc>
          <w:tcPr>
            <w:tcW w:w="4470" w:type="dxa"/>
            <w:shd w:val="clear" w:color="auto" w:fill="FFFFFF"/>
            <w:tcMar>
              <w:top w:w="40" w:type="dxa"/>
              <w:left w:w="40" w:type="dxa"/>
              <w:bottom w:w="40" w:type="dxa"/>
              <w:right w:w="40" w:type="dxa"/>
            </w:tcMar>
            <w:vAlign w:val="center"/>
          </w:tcPr>
          <w:p w14:paraId="029B0C73" w14:textId="77777777" w:rsidR="00C07EB1" w:rsidRDefault="00C07EB1">
            <w:pPr>
              <w:widowControl w:val="0"/>
              <w:spacing w:line="240" w:lineRule="auto"/>
              <w:rPr>
                <w:sz w:val="16"/>
                <w:szCs w:val="16"/>
              </w:rPr>
            </w:pPr>
            <w:r>
              <w:rPr>
                <w:b/>
                <w:sz w:val="16"/>
                <w:szCs w:val="16"/>
              </w:rPr>
              <w:t>Assessment Results Reported</w:t>
            </w:r>
            <w:r>
              <w:rPr>
                <w:sz w:val="16"/>
                <w:szCs w:val="16"/>
              </w:rPr>
              <w:t>: The local school board analyzes and reports annually the results from the Stanford Achievement Test Series, Ninth Edition (Stanford Nine) assessment, if administered, industry certification assessments examinations, and the Standards of Learning Assessments to the public.</w:t>
            </w:r>
          </w:p>
        </w:tc>
        <w:tc>
          <w:tcPr>
            <w:tcW w:w="3935" w:type="dxa"/>
            <w:shd w:val="clear" w:color="auto" w:fill="auto"/>
            <w:tcMar>
              <w:top w:w="100" w:type="dxa"/>
              <w:left w:w="100" w:type="dxa"/>
              <w:bottom w:w="100" w:type="dxa"/>
              <w:right w:w="100" w:type="dxa"/>
            </w:tcMar>
            <w:vAlign w:val="center"/>
          </w:tcPr>
          <w:p w14:paraId="11394A0F" w14:textId="77777777" w:rsidR="00C07EB1" w:rsidRDefault="00C07EB1">
            <w:pPr>
              <w:widowControl w:val="0"/>
              <w:spacing w:line="240" w:lineRule="auto"/>
              <w:rPr>
                <w:sz w:val="16"/>
                <w:szCs w:val="16"/>
              </w:rPr>
            </w:pPr>
            <w:r>
              <w:rPr>
                <w:sz w:val="16"/>
                <w:szCs w:val="16"/>
              </w:rPr>
              <w:t>Provide a link where this information is made publicly available or provide a summary of the process through which this information is made publicly available.</w:t>
            </w:r>
          </w:p>
        </w:tc>
      </w:tr>
      <w:tr w:rsidR="00C07EB1" w14:paraId="07614334" w14:textId="77777777" w:rsidTr="00C07EB1">
        <w:trPr>
          <w:jc w:val="center"/>
        </w:trPr>
        <w:tc>
          <w:tcPr>
            <w:tcW w:w="1725" w:type="dxa"/>
            <w:shd w:val="clear" w:color="auto" w:fill="FFFFFF"/>
            <w:vAlign w:val="center"/>
          </w:tcPr>
          <w:p w14:paraId="69798795" w14:textId="0E78FE9E" w:rsidR="00C07EB1" w:rsidRPr="00C07EB1" w:rsidRDefault="00C07EB1">
            <w:pPr>
              <w:widowControl w:val="0"/>
              <w:spacing w:line="240" w:lineRule="auto"/>
              <w:jc w:val="center"/>
              <w:rPr>
                <w:b/>
                <w:sz w:val="16"/>
                <w:szCs w:val="16"/>
              </w:rPr>
            </w:pPr>
            <w:r w:rsidRPr="00C07EB1">
              <w:rPr>
                <w:b/>
                <w:sz w:val="16"/>
                <w:szCs w:val="16"/>
              </w:rPr>
              <w:t>8. Certificates of Program Completion</w:t>
            </w:r>
          </w:p>
        </w:tc>
        <w:tc>
          <w:tcPr>
            <w:tcW w:w="1725" w:type="dxa"/>
            <w:shd w:val="clear" w:color="auto" w:fill="FFFFFF"/>
            <w:tcMar>
              <w:top w:w="40" w:type="dxa"/>
              <w:left w:w="40" w:type="dxa"/>
              <w:bottom w:w="40" w:type="dxa"/>
              <w:right w:w="40" w:type="dxa"/>
            </w:tcMar>
            <w:vAlign w:val="center"/>
          </w:tcPr>
          <w:p w14:paraId="32656C4C" w14:textId="27EDD10C" w:rsidR="00C07EB1" w:rsidRDefault="00C07EB1">
            <w:pPr>
              <w:widowControl w:val="0"/>
              <w:spacing w:line="240" w:lineRule="auto"/>
              <w:jc w:val="center"/>
              <w:rPr>
                <w:sz w:val="16"/>
                <w:szCs w:val="16"/>
              </w:rPr>
            </w:pPr>
            <w:r>
              <w:rPr>
                <w:sz w:val="16"/>
                <w:szCs w:val="16"/>
              </w:rPr>
              <w:t xml:space="preserve">§ </w:t>
            </w:r>
            <w:hyperlink r:id="rId25">
              <w:r>
                <w:rPr>
                  <w:color w:val="1155CC"/>
                  <w:sz w:val="16"/>
                  <w:szCs w:val="16"/>
                  <w:u w:val="single"/>
                </w:rPr>
                <w:t>22.1-253.13:4(C)</w:t>
              </w:r>
            </w:hyperlink>
          </w:p>
        </w:tc>
        <w:tc>
          <w:tcPr>
            <w:tcW w:w="4470" w:type="dxa"/>
            <w:shd w:val="clear" w:color="auto" w:fill="FFFFFF"/>
            <w:tcMar>
              <w:top w:w="40" w:type="dxa"/>
              <w:left w:w="40" w:type="dxa"/>
              <w:bottom w:w="40" w:type="dxa"/>
              <w:right w:w="40" w:type="dxa"/>
            </w:tcMar>
            <w:vAlign w:val="center"/>
          </w:tcPr>
          <w:p w14:paraId="77F85BEC" w14:textId="77777777" w:rsidR="00C07EB1" w:rsidRDefault="00C07EB1">
            <w:pPr>
              <w:widowControl w:val="0"/>
              <w:spacing w:line="240" w:lineRule="auto"/>
              <w:rPr>
                <w:sz w:val="16"/>
                <w:szCs w:val="16"/>
              </w:rPr>
            </w:pPr>
            <w:r>
              <w:rPr>
                <w:b/>
                <w:sz w:val="16"/>
                <w:szCs w:val="16"/>
              </w:rPr>
              <w:t>Certificates of Program Completion</w:t>
            </w:r>
            <w:r>
              <w:rPr>
                <w:sz w:val="16"/>
                <w:szCs w:val="16"/>
              </w:rPr>
              <w:t>: Students who have completed a prescribed course of study as defined by the local school board shall be awarded certificates of program completion by local school boards if they are not eligible to receive a Board of Education-approved diploma.</w:t>
            </w:r>
          </w:p>
        </w:tc>
        <w:tc>
          <w:tcPr>
            <w:tcW w:w="3935" w:type="dxa"/>
            <w:shd w:val="clear" w:color="auto" w:fill="auto"/>
            <w:tcMar>
              <w:top w:w="100" w:type="dxa"/>
              <w:left w:w="100" w:type="dxa"/>
              <w:bottom w:w="100" w:type="dxa"/>
              <w:right w:w="100" w:type="dxa"/>
            </w:tcMar>
            <w:vAlign w:val="center"/>
          </w:tcPr>
          <w:p w14:paraId="0DEB7568" w14:textId="77777777" w:rsidR="00C07EB1" w:rsidRDefault="00C07EB1">
            <w:pPr>
              <w:widowControl w:val="0"/>
              <w:spacing w:line="240" w:lineRule="auto"/>
              <w:rPr>
                <w:sz w:val="16"/>
                <w:szCs w:val="16"/>
              </w:rPr>
            </w:pPr>
            <w:r>
              <w:rPr>
                <w:sz w:val="16"/>
                <w:szCs w:val="16"/>
              </w:rPr>
              <w:t>Provide the prescribed course of study for students seeking a certificate of program completion.</w:t>
            </w:r>
          </w:p>
        </w:tc>
      </w:tr>
      <w:tr w:rsidR="00C07EB1" w14:paraId="69192774" w14:textId="77777777" w:rsidTr="00C07EB1">
        <w:trPr>
          <w:trHeight w:val="1959"/>
          <w:jc w:val="center"/>
        </w:trPr>
        <w:tc>
          <w:tcPr>
            <w:tcW w:w="1725" w:type="dxa"/>
            <w:shd w:val="clear" w:color="auto" w:fill="FFFFFF"/>
            <w:vAlign w:val="center"/>
          </w:tcPr>
          <w:p w14:paraId="7560A9DC" w14:textId="4115BA0A" w:rsidR="00C07EB1" w:rsidRPr="00C07EB1" w:rsidRDefault="00C07EB1" w:rsidP="00C07EB1">
            <w:pPr>
              <w:widowControl w:val="0"/>
              <w:spacing w:line="240" w:lineRule="auto"/>
              <w:jc w:val="center"/>
              <w:rPr>
                <w:b/>
                <w:sz w:val="16"/>
                <w:szCs w:val="16"/>
              </w:rPr>
            </w:pPr>
            <w:r w:rsidRPr="00C07EB1">
              <w:rPr>
                <w:b/>
                <w:sz w:val="16"/>
                <w:szCs w:val="16"/>
              </w:rPr>
              <w:t>9. Professional Development Plan</w:t>
            </w:r>
          </w:p>
        </w:tc>
        <w:tc>
          <w:tcPr>
            <w:tcW w:w="1725" w:type="dxa"/>
            <w:shd w:val="clear" w:color="auto" w:fill="FFFFFF"/>
            <w:tcMar>
              <w:top w:w="40" w:type="dxa"/>
              <w:left w:w="40" w:type="dxa"/>
              <w:bottom w:w="40" w:type="dxa"/>
              <w:right w:w="40" w:type="dxa"/>
            </w:tcMar>
            <w:vAlign w:val="center"/>
          </w:tcPr>
          <w:p w14:paraId="395BDF55" w14:textId="7653513E" w:rsidR="00C07EB1" w:rsidRDefault="00C07EB1" w:rsidP="00C07EB1">
            <w:pPr>
              <w:widowControl w:val="0"/>
              <w:spacing w:line="240" w:lineRule="auto"/>
              <w:jc w:val="center"/>
              <w:rPr>
                <w:sz w:val="16"/>
                <w:szCs w:val="16"/>
              </w:rPr>
            </w:pPr>
            <w:r>
              <w:rPr>
                <w:sz w:val="16"/>
                <w:szCs w:val="16"/>
              </w:rPr>
              <w:t xml:space="preserve">§ </w:t>
            </w:r>
            <w:hyperlink r:id="rId26">
              <w:r>
                <w:rPr>
                  <w:color w:val="1155CC"/>
                  <w:sz w:val="16"/>
                  <w:szCs w:val="16"/>
                  <w:u w:val="single"/>
                </w:rPr>
                <w:t>22.1-253.13:5(E)</w:t>
              </w:r>
            </w:hyperlink>
            <w:r>
              <w:rPr>
                <w:color w:val="1155CC"/>
                <w:sz w:val="16"/>
                <w:szCs w:val="16"/>
                <w:u w:val="single"/>
              </w:rPr>
              <w:br/>
            </w:r>
            <w:r>
              <w:rPr>
                <w:sz w:val="16"/>
                <w:szCs w:val="16"/>
              </w:rPr>
              <w:t xml:space="preserve">§ </w:t>
            </w:r>
            <w:hyperlink r:id="rId27">
              <w:r>
                <w:rPr>
                  <w:color w:val="1155CC"/>
                  <w:sz w:val="16"/>
                  <w:szCs w:val="16"/>
                  <w:u w:val="single"/>
                </w:rPr>
                <w:t>22.1-253.13:5(G)</w:t>
              </w:r>
            </w:hyperlink>
          </w:p>
        </w:tc>
        <w:tc>
          <w:tcPr>
            <w:tcW w:w="4470" w:type="dxa"/>
            <w:shd w:val="clear" w:color="auto" w:fill="FFFFFF"/>
            <w:tcMar>
              <w:top w:w="40" w:type="dxa"/>
              <w:left w:w="40" w:type="dxa"/>
              <w:bottom w:w="40" w:type="dxa"/>
              <w:right w:w="40" w:type="dxa"/>
            </w:tcMar>
            <w:vAlign w:val="center"/>
          </w:tcPr>
          <w:p w14:paraId="2FB83AAE" w14:textId="77777777" w:rsidR="00C07EB1" w:rsidRDefault="00C07EB1" w:rsidP="00EE4E56">
            <w:pPr>
              <w:widowControl w:val="0"/>
              <w:spacing w:line="240" w:lineRule="auto"/>
              <w:rPr>
                <w:sz w:val="16"/>
                <w:szCs w:val="16"/>
              </w:rPr>
            </w:pPr>
            <w:r>
              <w:rPr>
                <w:b/>
                <w:sz w:val="16"/>
                <w:szCs w:val="16"/>
              </w:rPr>
              <w:t>Professional Development Plan</w:t>
            </w:r>
            <w:r>
              <w:rPr>
                <w:sz w:val="16"/>
                <w:szCs w:val="16"/>
              </w:rPr>
              <w:t xml:space="preserve">: Each local school board shall provide a program of high-quality professional development 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 </w:t>
            </w:r>
          </w:p>
          <w:p w14:paraId="7FA4A9B8" w14:textId="77777777" w:rsidR="00C07EB1" w:rsidRDefault="00C07EB1" w:rsidP="00EE4E56">
            <w:pPr>
              <w:widowControl w:val="0"/>
              <w:spacing w:line="240" w:lineRule="auto"/>
              <w:rPr>
                <w:sz w:val="16"/>
                <w:szCs w:val="16"/>
              </w:rPr>
            </w:pPr>
          </w:p>
          <w:p w14:paraId="3ADE4ADC" w14:textId="49AFFDB3" w:rsidR="00C07EB1" w:rsidRDefault="00C07EB1" w:rsidP="00EE4E56">
            <w:pPr>
              <w:widowControl w:val="0"/>
              <w:spacing w:line="240" w:lineRule="auto"/>
              <w:rPr>
                <w:sz w:val="16"/>
                <w:szCs w:val="16"/>
              </w:rPr>
            </w:pPr>
            <w:r>
              <w:rPr>
                <w:sz w:val="16"/>
                <w:szCs w:val="16"/>
              </w:rPr>
              <w:t>Each local school board shall provide a program of high-quality professional development for principals and supervisors designed to increase proficiency in instructional leadership and management, including training in the evaluation and documentation of teacher and principal performance based on student academic progress and the skills and knowledge of such instructional or administrative personnel.</w:t>
            </w:r>
          </w:p>
          <w:p w14:paraId="51B48062" w14:textId="77777777" w:rsidR="00C07EB1" w:rsidRDefault="00C07EB1" w:rsidP="00EE4E56">
            <w:pPr>
              <w:widowControl w:val="0"/>
              <w:spacing w:line="240" w:lineRule="auto"/>
              <w:rPr>
                <w:sz w:val="16"/>
                <w:szCs w:val="16"/>
              </w:rPr>
            </w:pPr>
          </w:p>
          <w:p w14:paraId="1493979F" w14:textId="6B0FF50C" w:rsidR="00C07EB1" w:rsidRDefault="00C07EB1" w:rsidP="00EE4E56">
            <w:pPr>
              <w:widowControl w:val="0"/>
              <w:spacing w:line="240" w:lineRule="auto"/>
              <w:rPr>
                <w:sz w:val="16"/>
                <w:szCs w:val="16"/>
              </w:rPr>
            </w:pPr>
            <w:r>
              <w:rPr>
                <w:sz w:val="16"/>
                <w:szCs w:val="16"/>
              </w:rPr>
              <w:t>The school board annually reviews its professional development program for quality, effectiveness, participation by instructional personnel, and relevancy to the instructional needs of teachers and the academic achievement needs of the students in the school division.</w:t>
            </w:r>
          </w:p>
        </w:tc>
        <w:tc>
          <w:tcPr>
            <w:tcW w:w="3935" w:type="dxa"/>
            <w:shd w:val="clear" w:color="auto" w:fill="auto"/>
            <w:tcMar>
              <w:top w:w="100" w:type="dxa"/>
              <w:left w:w="100" w:type="dxa"/>
              <w:bottom w:w="100" w:type="dxa"/>
              <w:right w:w="100" w:type="dxa"/>
            </w:tcMar>
            <w:vAlign w:val="center"/>
          </w:tcPr>
          <w:p w14:paraId="5B2CBD8C" w14:textId="1AF20EC5" w:rsidR="00C07EB1" w:rsidRDefault="00C07EB1" w:rsidP="00EE4E56">
            <w:pPr>
              <w:widowControl w:val="0"/>
              <w:spacing w:line="240" w:lineRule="auto"/>
              <w:rPr>
                <w:sz w:val="16"/>
                <w:szCs w:val="16"/>
              </w:rPr>
            </w:pPr>
            <w:r>
              <w:rPr>
                <w:sz w:val="16"/>
                <w:szCs w:val="16"/>
              </w:rPr>
              <w:t>Provide a schedule of the high quality professional development (PD) program related to following topics:</w:t>
            </w:r>
          </w:p>
          <w:p w14:paraId="532D59C2" w14:textId="77777777" w:rsidR="00C07EB1" w:rsidRDefault="00C07EB1" w:rsidP="00EE4E56">
            <w:pPr>
              <w:widowControl w:val="0"/>
              <w:spacing w:line="240" w:lineRule="auto"/>
              <w:rPr>
                <w:sz w:val="16"/>
                <w:szCs w:val="16"/>
              </w:rPr>
            </w:pPr>
          </w:p>
          <w:p w14:paraId="6F5196F0" w14:textId="77777777" w:rsidR="00C07EB1" w:rsidRDefault="00C07EB1" w:rsidP="00EE4E56">
            <w:pPr>
              <w:pStyle w:val="ListParagraph"/>
              <w:widowControl w:val="0"/>
              <w:numPr>
                <w:ilvl w:val="0"/>
                <w:numId w:val="5"/>
              </w:numPr>
              <w:spacing w:line="240" w:lineRule="auto"/>
              <w:rPr>
                <w:sz w:val="16"/>
                <w:szCs w:val="16"/>
              </w:rPr>
            </w:pPr>
            <w:r>
              <w:rPr>
                <w:sz w:val="16"/>
                <w:szCs w:val="16"/>
              </w:rPr>
              <w:t>S</w:t>
            </w:r>
            <w:r w:rsidRPr="00EE4E56">
              <w:rPr>
                <w:sz w:val="16"/>
                <w:szCs w:val="16"/>
              </w:rPr>
              <w:t>erving gifted students, students with disabilities, and students with limited English proficiency.</w:t>
            </w:r>
          </w:p>
          <w:p w14:paraId="7C5C4FE5" w14:textId="0BDFEEE0" w:rsidR="00C07EB1" w:rsidRDefault="00C07EB1" w:rsidP="00EE4E56">
            <w:pPr>
              <w:pStyle w:val="ListParagraph"/>
              <w:widowControl w:val="0"/>
              <w:numPr>
                <w:ilvl w:val="0"/>
                <w:numId w:val="5"/>
              </w:numPr>
              <w:spacing w:line="240" w:lineRule="auto"/>
              <w:rPr>
                <w:sz w:val="16"/>
                <w:szCs w:val="16"/>
              </w:rPr>
            </w:pPr>
            <w:r w:rsidRPr="00EE4E56">
              <w:rPr>
                <w:sz w:val="16"/>
                <w:szCs w:val="16"/>
              </w:rPr>
              <w:t>Instructional leadership and management for principals and supervisors.</w:t>
            </w:r>
          </w:p>
          <w:p w14:paraId="28DBCDE2" w14:textId="77777777" w:rsidR="00C07EB1" w:rsidRPr="00EE4E56" w:rsidRDefault="00C07EB1" w:rsidP="00EE4E56">
            <w:pPr>
              <w:widowControl w:val="0"/>
              <w:spacing w:line="240" w:lineRule="auto"/>
              <w:rPr>
                <w:sz w:val="16"/>
                <w:szCs w:val="16"/>
              </w:rPr>
            </w:pPr>
          </w:p>
          <w:p w14:paraId="41757E9D" w14:textId="22FC5C76" w:rsidR="00C07EB1" w:rsidRDefault="00C07EB1" w:rsidP="00EE4E56">
            <w:pPr>
              <w:widowControl w:val="0"/>
              <w:spacing w:line="240" w:lineRule="auto"/>
              <w:rPr>
                <w:sz w:val="16"/>
                <w:szCs w:val="16"/>
              </w:rPr>
            </w:pPr>
            <w:r>
              <w:rPr>
                <w:sz w:val="16"/>
                <w:szCs w:val="16"/>
              </w:rPr>
              <w:t xml:space="preserve">Provide the agenda, including the presenters, and/or materials, as well as the format and curriculum for the PD program. Explain how these high quality PD programs were vetted and selected.  </w:t>
            </w:r>
          </w:p>
          <w:p w14:paraId="0AD33888" w14:textId="77777777" w:rsidR="00C07EB1" w:rsidRDefault="00C07EB1" w:rsidP="00EE4E56">
            <w:pPr>
              <w:widowControl w:val="0"/>
              <w:spacing w:line="240" w:lineRule="auto"/>
              <w:rPr>
                <w:sz w:val="16"/>
                <w:szCs w:val="16"/>
              </w:rPr>
            </w:pPr>
          </w:p>
          <w:p w14:paraId="7D2C7D22" w14:textId="5E38BB47" w:rsidR="00C07EB1" w:rsidRDefault="00C07EB1" w:rsidP="00EE4E56">
            <w:pPr>
              <w:widowControl w:val="0"/>
              <w:spacing w:line="240" w:lineRule="auto"/>
              <w:rPr>
                <w:sz w:val="16"/>
                <w:szCs w:val="16"/>
              </w:rPr>
            </w:pPr>
            <w:r>
              <w:rPr>
                <w:sz w:val="16"/>
                <w:szCs w:val="16"/>
              </w:rPr>
              <w:t>Describe review process and/or evidence of an agenda item from the school board where they conducted a review.</w:t>
            </w:r>
          </w:p>
        </w:tc>
      </w:tr>
      <w:tr w:rsidR="00C07EB1" w14:paraId="0865340E" w14:textId="77777777" w:rsidTr="00C07EB1">
        <w:trPr>
          <w:jc w:val="center"/>
        </w:trPr>
        <w:tc>
          <w:tcPr>
            <w:tcW w:w="1725" w:type="dxa"/>
            <w:shd w:val="clear" w:color="auto" w:fill="FFFFFF"/>
            <w:vAlign w:val="center"/>
          </w:tcPr>
          <w:p w14:paraId="6B5259F4" w14:textId="67111AF4" w:rsidR="00C07EB1" w:rsidRPr="00C07EB1" w:rsidRDefault="00C07EB1" w:rsidP="00EE4E56">
            <w:pPr>
              <w:widowControl w:val="0"/>
              <w:spacing w:line="240" w:lineRule="auto"/>
              <w:jc w:val="center"/>
              <w:rPr>
                <w:b/>
                <w:sz w:val="16"/>
                <w:szCs w:val="16"/>
              </w:rPr>
            </w:pPr>
            <w:r w:rsidRPr="00C07EB1">
              <w:rPr>
                <w:b/>
                <w:sz w:val="16"/>
                <w:szCs w:val="16"/>
              </w:rPr>
              <w:t>10. Division Comprehensive Plan</w:t>
            </w:r>
          </w:p>
        </w:tc>
        <w:tc>
          <w:tcPr>
            <w:tcW w:w="1725" w:type="dxa"/>
            <w:shd w:val="clear" w:color="auto" w:fill="FFFFFF"/>
            <w:tcMar>
              <w:top w:w="40" w:type="dxa"/>
              <w:left w:w="40" w:type="dxa"/>
              <w:bottom w:w="40" w:type="dxa"/>
              <w:right w:w="40" w:type="dxa"/>
            </w:tcMar>
            <w:vAlign w:val="center"/>
          </w:tcPr>
          <w:p w14:paraId="76C08A2B" w14:textId="18616452" w:rsidR="00C07EB1" w:rsidRDefault="00C07EB1" w:rsidP="00EE4E56">
            <w:pPr>
              <w:widowControl w:val="0"/>
              <w:spacing w:line="240" w:lineRule="auto"/>
              <w:jc w:val="center"/>
              <w:rPr>
                <w:sz w:val="16"/>
                <w:szCs w:val="16"/>
              </w:rPr>
            </w:pPr>
            <w:r>
              <w:rPr>
                <w:sz w:val="16"/>
                <w:szCs w:val="16"/>
              </w:rPr>
              <w:t xml:space="preserve">§ </w:t>
            </w:r>
            <w:hyperlink r:id="rId28">
              <w:r>
                <w:rPr>
                  <w:color w:val="1155CC"/>
                  <w:sz w:val="16"/>
                  <w:szCs w:val="16"/>
                  <w:u w:val="single"/>
                </w:rPr>
                <w:t>22.1-253.13:6(B)</w:t>
              </w:r>
            </w:hyperlink>
            <w:r>
              <w:rPr>
                <w:color w:val="1155CC"/>
                <w:sz w:val="16"/>
                <w:szCs w:val="16"/>
                <w:u w:val="single"/>
              </w:rPr>
              <w:t xml:space="preserve"> </w:t>
            </w:r>
            <w:r w:rsidRPr="000B73C7">
              <w:rPr>
                <w:color w:val="000000" w:themeColor="text1"/>
                <w:sz w:val="16"/>
                <w:szCs w:val="16"/>
              </w:rPr>
              <w:t xml:space="preserve">and </w:t>
            </w:r>
            <w:r>
              <w:rPr>
                <w:sz w:val="16"/>
                <w:szCs w:val="16"/>
              </w:rPr>
              <w:t xml:space="preserve">§ </w:t>
            </w:r>
            <w:hyperlink r:id="rId29">
              <w:r>
                <w:rPr>
                  <w:color w:val="1155CC"/>
                  <w:sz w:val="16"/>
                  <w:szCs w:val="16"/>
                  <w:u w:val="single"/>
                </w:rPr>
                <w:t>22.1-253.13:5(F)</w:t>
              </w:r>
            </w:hyperlink>
          </w:p>
        </w:tc>
        <w:tc>
          <w:tcPr>
            <w:tcW w:w="4470" w:type="dxa"/>
            <w:shd w:val="clear" w:color="auto" w:fill="FFFFFF"/>
            <w:tcMar>
              <w:top w:w="40" w:type="dxa"/>
              <w:left w:w="40" w:type="dxa"/>
              <w:bottom w:w="40" w:type="dxa"/>
              <w:right w:w="40" w:type="dxa"/>
            </w:tcMar>
            <w:vAlign w:val="center"/>
          </w:tcPr>
          <w:p w14:paraId="53819D90" w14:textId="77777777" w:rsidR="00C07EB1" w:rsidRDefault="00C07EB1" w:rsidP="00EE4E56">
            <w:pPr>
              <w:widowControl w:val="0"/>
              <w:spacing w:line="240" w:lineRule="auto"/>
              <w:rPr>
                <w:sz w:val="16"/>
                <w:szCs w:val="16"/>
              </w:rPr>
            </w:pPr>
            <w:r>
              <w:rPr>
                <w:b/>
                <w:sz w:val="16"/>
                <w:szCs w:val="16"/>
              </w:rPr>
              <w:t>Division Comprehensive Plan</w:t>
            </w:r>
            <w:r>
              <w:rPr>
                <w:sz w:val="16"/>
                <w:szCs w:val="16"/>
              </w:rPr>
              <w:t>: The local school board shall adopt a division-wide comprehensive, unified, long-range plan based on data collection, an analysis of the data, and how the data will be utilized to improve classroom instruction and student achievement. The plan was developed with staff and community involvement and shall include, or is consistent with, all other division-wide plans required by state and federal laws and regulations.</w:t>
            </w:r>
          </w:p>
          <w:p w14:paraId="2E868697" w14:textId="77777777" w:rsidR="00C07EB1" w:rsidRDefault="00C07EB1" w:rsidP="00EE4E56">
            <w:pPr>
              <w:widowControl w:val="0"/>
              <w:spacing w:line="240" w:lineRule="auto"/>
              <w:rPr>
                <w:sz w:val="16"/>
                <w:szCs w:val="16"/>
              </w:rPr>
            </w:pPr>
          </w:p>
          <w:p w14:paraId="79E60A32" w14:textId="77777777" w:rsidR="00C07EB1" w:rsidRDefault="00C07EB1" w:rsidP="00EE4E56">
            <w:pPr>
              <w:widowControl w:val="0"/>
              <w:spacing w:line="240" w:lineRule="auto"/>
              <w:rPr>
                <w:sz w:val="16"/>
                <w:szCs w:val="16"/>
              </w:rPr>
            </w:pPr>
            <w:r>
              <w:rPr>
                <w:sz w:val="16"/>
                <w:szCs w:val="16"/>
              </w:rPr>
              <w:t>Each local school board shall review the plan biennially and adopt any necessary revisions. Prior to the adoption of any division-wide comprehensive plan or revisions thereto, the local school board shall post the plan or revisions on the division's Internet Web site if practicable, and, in any case, shall make a hard copy of the plan or revisions available for public inspection and copying and shall conduct at least one public hearing to solicit public comment on the division-wide plan or revisions.</w:t>
            </w:r>
          </w:p>
          <w:p w14:paraId="09221AFA" w14:textId="77777777" w:rsidR="00C07EB1" w:rsidRDefault="00C07EB1" w:rsidP="00EE4E56">
            <w:pPr>
              <w:widowControl w:val="0"/>
              <w:spacing w:line="240" w:lineRule="auto"/>
              <w:rPr>
                <w:sz w:val="16"/>
                <w:szCs w:val="16"/>
              </w:rPr>
            </w:pPr>
          </w:p>
          <w:p w14:paraId="7C719134" w14:textId="219E6712" w:rsidR="00C07EB1" w:rsidRDefault="00C07EB1" w:rsidP="00EE4E56">
            <w:pPr>
              <w:widowControl w:val="0"/>
              <w:spacing w:line="240" w:lineRule="auto"/>
              <w:rPr>
                <w:sz w:val="16"/>
                <w:szCs w:val="16"/>
              </w:rPr>
            </w:pPr>
            <w:r>
              <w:rPr>
                <w:sz w:val="16"/>
                <w:szCs w:val="16"/>
              </w:rPr>
              <w:t xml:space="preserve">The division-wide comprehensive plan shall include, but shall not be limited to, </w:t>
            </w:r>
            <w:r>
              <w:rPr>
                <w:i/>
                <w:sz w:val="16"/>
                <w:szCs w:val="16"/>
              </w:rPr>
              <w:t>(</w:t>
            </w:r>
            <w:r>
              <w:rPr>
                <w:i/>
                <w:sz w:val="16"/>
                <w:szCs w:val="16"/>
                <w:u w:val="single"/>
              </w:rPr>
              <w:t>i) the objectives of the school division, including strategies for first improving student achievement, particularly the achievement of educationally at-risk students, then maintaining high levels of student achievement</w:t>
            </w:r>
            <w:r>
              <w:rPr>
                <w:i/>
                <w:sz w:val="16"/>
                <w:szCs w:val="16"/>
              </w:rPr>
              <w:t>; (</w:t>
            </w:r>
            <w:r>
              <w:rPr>
                <w:i/>
                <w:sz w:val="16"/>
                <w:szCs w:val="16"/>
                <w:u w:val="single"/>
              </w:rPr>
              <w:t>ii) an assessment of the extent to which these objectives are being achieved</w:t>
            </w:r>
            <w:r>
              <w:rPr>
                <w:sz w:val="16"/>
                <w:szCs w:val="16"/>
              </w:rPr>
              <w:t>; (iii) a forecast of enrollment changes; (iv) a plan for projecting and managing enrollment changes including consideration of the consolidation of schools to provide for a more comprehensive and effective delivery of instructional services to students and economies in school operations; (v) an evaluation of the appropriateness of establishing regional programs and services in cooperation with neighboring school divisions; (vi) a plan for implementing such regional programs and services when appropriate;</w:t>
            </w:r>
            <w:r>
              <w:rPr>
                <w:i/>
                <w:sz w:val="16"/>
                <w:szCs w:val="16"/>
              </w:rPr>
              <w:t xml:space="preserve"> </w:t>
            </w:r>
            <w:r>
              <w:rPr>
                <w:i/>
                <w:sz w:val="16"/>
                <w:szCs w:val="16"/>
                <w:u w:val="single"/>
              </w:rPr>
              <w:t>(vii) a technology plan designed to integrate educational technology into the instructional programs of the school division, including the school division's career and technical education programs, consistent with, or as a part of, the comprehensive technology plan for Virginia adopted by the Board of Education</w:t>
            </w:r>
            <w:r>
              <w:rPr>
                <w:sz w:val="16"/>
                <w:szCs w:val="16"/>
              </w:rPr>
              <w:t xml:space="preserve">; (viii) an assessment of the needs of the school division and evidence of community participation, including parental participation, in the development of the plan; </w:t>
            </w:r>
            <w:r>
              <w:rPr>
                <w:i/>
                <w:sz w:val="16"/>
                <w:szCs w:val="16"/>
              </w:rPr>
              <w:t>(</w:t>
            </w:r>
            <w:r>
              <w:rPr>
                <w:i/>
                <w:sz w:val="16"/>
                <w:szCs w:val="16"/>
                <w:u w:val="single"/>
              </w:rPr>
              <w:t>ix) any corrective action plan required pursuant to § 22.1-253.13:3</w:t>
            </w:r>
            <w:r>
              <w:rPr>
                <w:sz w:val="16"/>
                <w:szCs w:val="16"/>
              </w:rPr>
              <w:t>; and (x) a plan for parent and family involvement to include building successful school and parent partnerships that shall be developed with staff and community involvement, including participation by parents.</w:t>
            </w:r>
          </w:p>
        </w:tc>
        <w:tc>
          <w:tcPr>
            <w:tcW w:w="3935" w:type="dxa"/>
            <w:shd w:val="clear" w:color="auto" w:fill="auto"/>
            <w:tcMar>
              <w:top w:w="100" w:type="dxa"/>
              <w:left w:w="100" w:type="dxa"/>
              <w:bottom w:w="100" w:type="dxa"/>
              <w:right w:w="100" w:type="dxa"/>
            </w:tcMar>
            <w:vAlign w:val="center"/>
          </w:tcPr>
          <w:p w14:paraId="2BDC746C" w14:textId="77777777" w:rsidR="00C07EB1" w:rsidRDefault="00C07EB1" w:rsidP="00EE4E56">
            <w:pPr>
              <w:widowControl w:val="0"/>
              <w:spacing w:line="240" w:lineRule="auto"/>
              <w:rPr>
                <w:sz w:val="16"/>
                <w:szCs w:val="16"/>
              </w:rPr>
            </w:pPr>
            <w:r>
              <w:rPr>
                <w:sz w:val="16"/>
                <w:szCs w:val="16"/>
              </w:rPr>
              <w:t>Provide the latest comprehensive (strategic) plan and a link where this information is made publicly available or provide a summary of the process through which this information is made publicly available for review.</w:t>
            </w:r>
          </w:p>
          <w:p w14:paraId="436B28E1" w14:textId="77777777" w:rsidR="00C07EB1" w:rsidRDefault="00C07EB1" w:rsidP="00EE4E56">
            <w:pPr>
              <w:widowControl w:val="0"/>
              <w:spacing w:line="240" w:lineRule="auto"/>
              <w:rPr>
                <w:sz w:val="16"/>
                <w:szCs w:val="16"/>
              </w:rPr>
            </w:pPr>
          </w:p>
          <w:p w14:paraId="244E7301" w14:textId="77777777" w:rsidR="00C07EB1" w:rsidRDefault="00C07EB1" w:rsidP="00EE4E56">
            <w:pPr>
              <w:widowControl w:val="0"/>
              <w:spacing w:line="240" w:lineRule="auto"/>
              <w:rPr>
                <w:sz w:val="16"/>
                <w:szCs w:val="16"/>
              </w:rPr>
            </w:pPr>
            <w:r>
              <w:rPr>
                <w:sz w:val="16"/>
                <w:szCs w:val="16"/>
              </w:rPr>
              <w:t xml:space="preserve">Please also highlight where the plan addresses the following: </w:t>
            </w:r>
          </w:p>
          <w:p w14:paraId="0259C933" w14:textId="77777777" w:rsidR="00C07EB1" w:rsidRDefault="00C07EB1" w:rsidP="00EE4E56">
            <w:pPr>
              <w:pStyle w:val="ListParagraph"/>
              <w:widowControl w:val="0"/>
              <w:numPr>
                <w:ilvl w:val="0"/>
                <w:numId w:val="5"/>
              </w:numPr>
              <w:spacing w:line="240" w:lineRule="auto"/>
              <w:rPr>
                <w:sz w:val="16"/>
                <w:szCs w:val="16"/>
              </w:rPr>
            </w:pPr>
            <w:r w:rsidRPr="00EE4E56">
              <w:rPr>
                <w:sz w:val="16"/>
                <w:szCs w:val="16"/>
              </w:rPr>
              <w:t xml:space="preserve">(i) the objectives of the school division, including strategies for first improving student achievement, particularly the achievement of educationally at-risk students, then maintaining high levels of student achievement; </w:t>
            </w:r>
          </w:p>
          <w:p w14:paraId="359FAEA0" w14:textId="77777777" w:rsidR="00C07EB1" w:rsidRDefault="00C07EB1" w:rsidP="00EE4E56">
            <w:pPr>
              <w:pStyle w:val="ListParagraph"/>
              <w:widowControl w:val="0"/>
              <w:numPr>
                <w:ilvl w:val="0"/>
                <w:numId w:val="5"/>
              </w:numPr>
              <w:spacing w:line="240" w:lineRule="auto"/>
              <w:rPr>
                <w:sz w:val="16"/>
                <w:szCs w:val="16"/>
              </w:rPr>
            </w:pPr>
            <w:r w:rsidRPr="00EE4E56">
              <w:rPr>
                <w:sz w:val="16"/>
                <w:szCs w:val="16"/>
              </w:rPr>
              <w:t xml:space="preserve">(ii) an assessment of the extent to which these objectives are being achieved; </w:t>
            </w:r>
          </w:p>
          <w:p w14:paraId="5655FE37" w14:textId="77777777" w:rsidR="00C07EB1" w:rsidRDefault="00C07EB1" w:rsidP="00EE4E56">
            <w:pPr>
              <w:pStyle w:val="ListParagraph"/>
              <w:widowControl w:val="0"/>
              <w:numPr>
                <w:ilvl w:val="0"/>
                <w:numId w:val="5"/>
              </w:numPr>
              <w:spacing w:line="240" w:lineRule="auto"/>
              <w:rPr>
                <w:sz w:val="16"/>
                <w:szCs w:val="16"/>
              </w:rPr>
            </w:pPr>
            <w:r w:rsidRPr="00EE4E56">
              <w:rPr>
                <w:sz w:val="16"/>
                <w:szCs w:val="16"/>
              </w:rPr>
              <w:t>(vii) a technology plan designed to integrate educational technology into the instructional programs of the school division, including the school division's career and technical education programs, consistent with, or as a part of, the comprehensive technology plan for Virginia adopted by the Board of Education; and</w:t>
            </w:r>
          </w:p>
          <w:p w14:paraId="2250E105" w14:textId="4F1AE87E" w:rsidR="00C07EB1" w:rsidRPr="00EE4E56" w:rsidRDefault="00C07EB1" w:rsidP="00EE4E56">
            <w:pPr>
              <w:pStyle w:val="ListParagraph"/>
              <w:widowControl w:val="0"/>
              <w:numPr>
                <w:ilvl w:val="0"/>
                <w:numId w:val="5"/>
              </w:numPr>
              <w:spacing w:line="240" w:lineRule="auto"/>
              <w:rPr>
                <w:sz w:val="16"/>
                <w:szCs w:val="16"/>
              </w:rPr>
            </w:pPr>
            <w:r w:rsidRPr="00EE4E56">
              <w:rPr>
                <w:sz w:val="16"/>
                <w:szCs w:val="16"/>
              </w:rPr>
              <w:t>(ix) any corrective action plan required pursuant to § 22.1-253.13:3.</w:t>
            </w:r>
          </w:p>
          <w:p w14:paraId="13D52FEC" w14:textId="77777777" w:rsidR="00C07EB1" w:rsidRDefault="00C07EB1" w:rsidP="00EE4E56">
            <w:pPr>
              <w:widowControl w:val="0"/>
              <w:spacing w:line="240" w:lineRule="auto"/>
              <w:rPr>
                <w:sz w:val="16"/>
                <w:szCs w:val="16"/>
              </w:rPr>
            </w:pPr>
          </w:p>
        </w:tc>
      </w:tr>
      <w:tr w:rsidR="00C07EB1" w14:paraId="5F3AAC62" w14:textId="77777777" w:rsidTr="00C07EB1">
        <w:trPr>
          <w:jc w:val="center"/>
        </w:trPr>
        <w:tc>
          <w:tcPr>
            <w:tcW w:w="1725" w:type="dxa"/>
            <w:shd w:val="clear" w:color="auto" w:fill="FFFFFF"/>
            <w:vAlign w:val="center"/>
          </w:tcPr>
          <w:p w14:paraId="4D198ABB" w14:textId="6388DB97" w:rsidR="00C07EB1" w:rsidRPr="00C07EB1" w:rsidRDefault="00C07EB1" w:rsidP="00EE4E56">
            <w:pPr>
              <w:widowControl w:val="0"/>
              <w:spacing w:line="240" w:lineRule="auto"/>
              <w:jc w:val="center"/>
              <w:rPr>
                <w:b/>
                <w:sz w:val="16"/>
                <w:szCs w:val="16"/>
              </w:rPr>
            </w:pPr>
            <w:r w:rsidRPr="00C07EB1">
              <w:rPr>
                <w:b/>
                <w:sz w:val="16"/>
                <w:szCs w:val="16"/>
              </w:rPr>
              <w:t>11. School Comprehensive Plan</w:t>
            </w:r>
          </w:p>
        </w:tc>
        <w:tc>
          <w:tcPr>
            <w:tcW w:w="1725" w:type="dxa"/>
            <w:shd w:val="clear" w:color="auto" w:fill="FFFFFF"/>
            <w:tcMar>
              <w:top w:w="40" w:type="dxa"/>
              <w:left w:w="40" w:type="dxa"/>
              <w:bottom w:w="40" w:type="dxa"/>
              <w:right w:w="40" w:type="dxa"/>
            </w:tcMar>
            <w:vAlign w:val="center"/>
          </w:tcPr>
          <w:p w14:paraId="2D8AB416" w14:textId="5151E05F" w:rsidR="00C07EB1" w:rsidRDefault="00C07EB1" w:rsidP="00EE4E56">
            <w:pPr>
              <w:widowControl w:val="0"/>
              <w:spacing w:line="240" w:lineRule="auto"/>
              <w:jc w:val="center"/>
              <w:rPr>
                <w:sz w:val="16"/>
                <w:szCs w:val="16"/>
              </w:rPr>
            </w:pPr>
            <w:r>
              <w:rPr>
                <w:sz w:val="16"/>
                <w:szCs w:val="16"/>
              </w:rPr>
              <w:t xml:space="preserve">§ </w:t>
            </w:r>
            <w:hyperlink r:id="rId30">
              <w:r>
                <w:rPr>
                  <w:color w:val="1155CC"/>
                  <w:sz w:val="16"/>
                  <w:szCs w:val="16"/>
                  <w:u w:val="single"/>
                </w:rPr>
                <w:t>22.1-253.13:6(B)</w:t>
              </w:r>
            </w:hyperlink>
          </w:p>
        </w:tc>
        <w:tc>
          <w:tcPr>
            <w:tcW w:w="4470" w:type="dxa"/>
            <w:shd w:val="clear" w:color="auto" w:fill="FFFFFF"/>
            <w:tcMar>
              <w:top w:w="40" w:type="dxa"/>
              <w:left w:w="40" w:type="dxa"/>
              <w:bottom w:w="40" w:type="dxa"/>
              <w:right w:w="40" w:type="dxa"/>
            </w:tcMar>
            <w:vAlign w:val="center"/>
          </w:tcPr>
          <w:p w14:paraId="3D2B6FE8" w14:textId="77777777" w:rsidR="00C07EB1" w:rsidRDefault="00C07EB1" w:rsidP="00EE4E56">
            <w:pPr>
              <w:widowControl w:val="0"/>
              <w:spacing w:line="240" w:lineRule="auto"/>
              <w:rPr>
                <w:sz w:val="16"/>
                <w:szCs w:val="16"/>
              </w:rPr>
            </w:pPr>
            <w:r>
              <w:rPr>
                <w:b/>
                <w:sz w:val="16"/>
                <w:szCs w:val="16"/>
              </w:rPr>
              <w:t>School Comprehensive Plan</w:t>
            </w:r>
            <w:r>
              <w:rPr>
                <w:sz w:val="16"/>
                <w:szCs w:val="16"/>
              </w:rPr>
              <w:t>: Each school in the division prepared a comprehensive, unified, long-range plan that was considered by the local school board in developing the division-wide comprehensive plan.</w:t>
            </w:r>
          </w:p>
        </w:tc>
        <w:tc>
          <w:tcPr>
            <w:tcW w:w="3935" w:type="dxa"/>
            <w:shd w:val="clear" w:color="auto" w:fill="auto"/>
            <w:tcMar>
              <w:top w:w="100" w:type="dxa"/>
              <w:left w:w="100" w:type="dxa"/>
              <w:bottom w:w="100" w:type="dxa"/>
              <w:right w:w="100" w:type="dxa"/>
            </w:tcMar>
            <w:vAlign w:val="center"/>
          </w:tcPr>
          <w:p w14:paraId="4670EECC" w14:textId="77777777" w:rsidR="00C07EB1" w:rsidRDefault="00C07EB1" w:rsidP="00EE4E56">
            <w:pPr>
              <w:widowControl w:val="0"/>
              <w:spacing w:line="240" w:lineRule="auto"/>
              <w:rPr>
                <w:sz w:val="16"/>
                <w:szCs w:val="16"/>
              </w:rPr>
            </w:pPr>
            <w:r>
              <w:rPr>
                <w:sz w:val="16"/>
                <w:szCs w:val="16"/>
              </w:rPr>
              <w:t>Verify that each school in the division has a comprehensive, unified long range plan. Provide a table that affirms the school has a plan or provides a link to access the school plan.</w:t>
            </w:r>
          </w:p>
          <w:p w14:paraId="7585E7F1" w14:textId="77777777" w:rsidR="00C07EB1" w:rsidRDefault="00C07EB1" w:rsidP="00EE4E56">
            <w:pPr>
              <w:widowControl w:val="0"/>
              <w:spacing w:line="240" w:lineRule="auto"/>
              <w:rPr>
                <w:sz w:val="16"/>
                <w:szCs w:val="16"/>
              </w:rPr>
            </w:pPr>
          </w:p>
          <w:p w14:paraId="2D1FEE9B" w14:textId="77777777" w:rsidR="00C07EB1" w:rsidRDefault="00C07EB1" w:rsidP="00EE4E56">
            <w:pPr>
              <w:widowControl w:val="0"/>
              <w:spacing w:line="240" w:lineRule="auto"/>
              <w:rPr>
                <w:sz w:val="16"/>
                <w:szCs w:val="16"/>
              </w:rPr>
            </w:pPr>
            <w:r>
              <w:rPr>
                <w:sz w:val="16"/>
                <w:szCs w:val="16"/>
              </w:rPr>
              <w:t>Provide a summary of the process that is used by the local school board in developing the division-wide comprehensive plan.</w:t>
            </w:r>
          </w:p>
        </w:tc>
      </w:tr>
    </w:tbl>
    <w:p w14:paraId="68F41FE3" w14:textId="3D4747D7" w:rsidR="00096A16" w:rsidRDefault="00096A16">
      <w:pPr>
        <w:spacing w:line="240" w:lineRule="auto"/>
      </w:pPr>
    </w:p>
    <w:sectPr w:rsidR="00096A16">
      <w:type w:val="continuous"/>
      <w:pgSz w:w="15840" w:h="12240" w:orient="landscape"/>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DBED" w14:textId="77777777" w:rsidR="00825014" w:rsidRDefault="00825014">
      <w:pPr>
        <w:spacing w:line="240" w:lineRule="auto"/>
      </w:pPr>
      <w:r>
        <w:separator/>
      </w:r>
    </w:p>
  </w:endnote>
  <w:endnote w:type="continuationSeparator" w:id="0">
    <w:p w14:paraId="2DE45834" w14:textId="77777777" w:rsidR="00825014" w:rsidRDefault="00825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161C" w14:textId="7FB5C2CA" w:rsidR="00096A16" w:rsidRDefault="00A324F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74032">
      <w:rPr>
        <w:noProof/>
        <w:color w:val="000000"/>
      </w:rPr>
      <w:t>2</w:t>
    </w:r>
    <w:r>
      <w:rPr>
        <w:color w:val="000000"/>
      </w:rPr>
      <w:fldChar w:fldCharType="end"/>
    </w:r>
  </w:p>
  <w:p w14:paraId="0775F389" w14:textId="77777777" w:rsidR="00096A16" w:rsidRDefault="00096A16">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D72" w14:textId="10A296CF" w:rsidR="00096A16" w:rsidRDefault="003A4724">
    <w:pPr>
      <w:pBdr>
        <w:top w:val="nil"/>
        <w:left w:val="nil"/>
        <w:bottom w:val="nil"/>
        <w:right w:val="nil"/>
        <w:between w:val="nil"/>
      </w:pBdr>
      <w:tabs>
        <w:tab w:val="center" w:pos="4680"/>
        <w:tab w:val="right" w:pos="9360"/>
        <w:tab w:val="left" w:pos="4570"/>
      </w:tabs>
      <w:spacing w:line="240" w:lineRule="auto"/>
      <w:rPr>
        <w:color w:val="000000"/>
      </w:rPr>
    </w:pPr>
    <w:r>
      <w:rPr>
        <w:noProof/>
        <w:lang w:val="en-US"/>
      </w:rPr>
      <w:drawing>
        <wp:anchor distT="0" distB="0" distL="0" distR="0" simplePos="0" relativeHeight="251660288" behindDoc="0" locked="0" layoutInCell="1" hidden="0" allowOverlap="1" wp14:anchorId="5AE4896A" wp14:editId="09F0AD1E">
          <wp:simplePos x="0" y="0"/>
          <wp:positionH relativeFrom="margin">
            <wp:posOffset>0</wp:posOffset>
          </wp:positionH>
          <wp:positionV relativeFrom="page">
            <wp:posOffset>7089267</wp:posOffset>
          </wp:positionV>
          <wp:extent cx="10020300" cy="680720"/>
          <wp:effectExtent l="0" t="0" r="0" b="5080"/>
          <wp:wrapNone/>
          <wp:docPr id="15" name="image1.png" descr="Logo with black and red graphical elements" title="Virginia Department of Educat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37" t="90147" r="937" b="1364"/>
                  <a:stretch>
                    <a:fillRect/>
                  </a:stretch>
                </pic:blipFill>
                <pic:spPr>
                  <a:xfrm>
                    <a:off x="0" y="0"/>
                    <a:ext cx="10020300" cy="680720"/>
                  </a:xfrm>
                  <a:prstGeom prst="rect">
                    <a:avLst/>
                  </a:prstGeom>
                  <a:ln/>
                </pic:spPr>
              </pic:pic>
            </a:graphicData>
          </a:graphic>
        </wp:anchor>
      </w:drawing>
    </w:r>
    <w:r w:rsidR="00A324F0">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027B" w14:textId="77777777" w:rsidR="00825014" w:rsidRDefault="00825014">
      <w:pPr>
        <w:spacing w:line="240" w:lineRule="auto"/>
      </w:pPr>
      <w:r>
        <w:separator/>
      </w:r>
    </w:p>
  </w:footnote>
  <w:footnote w:type="continuationSeparator" w:id="0">
    <w:p w14:paraId="70159F5F" w14:textId="77777777" w:rsidR="00825014" w:rsidRDefault="008250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0D64" w14:textId="0372DD8B" w:rsidR="00096A16" w:rsidRDefault="003A4724">
    <w:r>
      <w:rPr>
        <w:noProof/>
        <w:lang w:val="en-US"/>
      </w:rPr>
      <w:drawing>
        <wp:anchor distT="0" distB="0" distL="0" distR="0" simplePos="0" relativeHeight="251658240" behindDoc="1" locked="0" layoutInCell="1" hidden="0" allowOverlap="1" wp14:anchorId="69DD0776" wp14:editId="5069039C">
          <wp:simplePos x="0" y="0"/>
          <wp:positionH relativeFrom="page">
            <wp:posOffset>76200</wp:posOffset>
          </wp:positionH>
          <wp:positionV relativeFrom="page">
            <wp:align>top</wp:align>
          </wp:positionV>
          <wp:extent cx="10058814" cy="1081088"/>
          <wp:effectExtent l="0" t="0" r="0" b="5080"/>
          <wp:wrapNone/>
          <wp:docPr id="14" name="image1.png" descr="Virginia Is for Learners graphic with red and black elements&#10;" title="Virginia Department of Educat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190" r="924" b="85119"/>
                  <a:stretch>
                    <a:fillRect/>
                  </a:stretch>
                </pic:blipFill>
                <pic:spPr>
                  <a:xfrm>
                    <a:off x="0" y="0"/>
                    <a:ext cx="10058814" cy="10810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8908" w14:textId="35EB63AB" w:rsidR="00096A16" w:rsidRDefault="00A324F0">
    <w:pPr>
      <w:tabs>
        <w:tab w:val="left" w:pos="7170"/>
      </w:tabs>
      <w:ind w:left="-1440" w:firstLine="1440"/>
    </w:pPr>
    <w:r>
      <w:rPr>
        <w:noProof/>
        <w:lang w:val="en-US"/>
      </w:rPr>
      <w:drawing>
        <wp:anchor distT="0" distB="0" distL="0" distR="0" simplePos="0" relativeHeight="251659264" behindDoc="1" locked="0" layoutInCell="1" hidden="0" allowOverlap="1" wp14:anchorId="051901ED" wp14:editId="6635CCF0">
          <wp:simplePos x="0" y="0"/>
          <wp:positionH relativeFrom="page">
            <wp:posOffset>17780</wp:posOffset>
          </wp:positionH>
          <wp:positionV relativeFrom="paragraph">
            <wp:posOffset>-496697</wp:posOffset>
          </wp:positionV>
          <wp:extent cx="10058400" cy="1080770"/>
          <wp:effectExtent l="0" t="0" r="0" b="5080"/>
          <wp:wrapNone/>
          <wp:docPr id="13" name="image1.png" descr="Virginia Is for Learners Red and Black Logo and Graphics" title="Virginia Department of Educat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190" r="924" b="85119"/>
                  <a:stretch>
                    <a:fillRect/>
                  </a:stretch>
                </pic:blipFill>
                <pic:spPr>
                  <a:xfrm>
                    <a:off x="0" y="0"/>
                    <a:ext cx="10058400" cy="1080770"/>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44E1"/>
    <w:multiLevelType w:val="hybridMultilevel"/>
    <w:tmpl w:val="2E8AD4E6"/>
    <w:lvl w:ilvl="0" w:tplc="CD526C24">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0F62"/>
    <w:multiLevelType w:val="hybridMultilevel"/>
    <w:tmpl w:val="16787820"/>
    <w:lvl w:ilvl="0" w:tplc="E28829E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00EEE"/>
    <w:multiLevelType w:val="multilevel"/>
    <w:tmpl w:val="C944D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95582E"/>
    <w:multiLevelType w:val="multilevel"/>
    <w:tmpl w:val="28EA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6F1FF4"/>
    <w:multiLevelType w:val="hybridMultilevel"/>
    <w:tmpl w:val="F294DFAA"/>
    <w:lvl w:ilvl="0" w:tplc="CD526C2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C3103"/>
    <w:multiLevelType w:val="hybridMultilevel"/>
    <w:tmpl w:val="62A8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16"/>
    <w:rsid w:val="00002722"/>
    <w:rsid w:val="0004706C"/>
    <w:rsid w:val="0007719C"/>
    <w:rsid w:val="00086EE5"/>
    <w:rsid w:val="000936AD"/>
    <w:rsid w:val="00096A16"/>
    <w:rsid w:val="000B73C7"/>
    <w:rsid w:val="00114F69"/>
    <w:rsid w:val="002C5BE9"/>
    <w:rsid w:val="002D79B3"/>
    <w:rsid w:val="003351E9"/>
    <w:rsid w:val="00362E7E"/>
    <w:rsid w:val="003A4724"/>
    <w:rsid w:val="004C0646"/>
    <w:rsid w:val="004E0171"/>
    <w:rsid w:val="005561C6"/>
    <w:rsid w:val="005C52E0"/>
    <w:rsid w:val="00612677"/>
    <w:rsid w:val="00666870"/>
    <w:rsid w:val="00667372"/>
    <w:rsid w:val="00687CB1"/>
    <w:rsid w:val="006A45FB"/>
    <w:rsid w:val="00825014"/>
    <w:rsid w:val="00874032"/>
    <w:rsid w:val="008E3D99"/>
    <w:rsid w:val="0099567F"/>
    <w:rsid w:val="00A324F0"/>
    <w:rsid w:val="00A735DE"/>
    <w:rsid w:val="00AB6E52"/>
    <w:rsid w:val="00B40857"/>
    <w:rsid w:val="00BA744B"/>
    <w:rsid w:val="00C07EB1"/>
    <w:rsid w:val="00C321CE"/>
    <w:rsid w:val="00D35BBC"/>
    <w:rsid w:val="00D51CC0"/>
    <w:rsid w:val="00EB6881"/>
    <w:rsid w:val="00EE4E56"/>
    <w:rsid w:val="00F42FAA"/>
    <w:rsid w:val="00F5035C"/>
    <w:rsid w:val="00F63288"/>
    <w:rsid w:val="00F673C7"/>
    <w:rsid w:val="00F7623D"/>
    <w:rsid w:val="00FA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F9FCB"/>
  <w15:docId w15:val="{9DE450D9-BCB3-EA49-88A3-89558297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283336"/>
    <w:pPr>
      <w:spacing w:line="240" w:lineRule="auto"/>
      <w:outlineLvl w:val="0"/>
    </w:pPr>
    <w:rPr>
      <w:b/>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3336"/>
    <w:pPr>
      <w:spacing w:line="240" w:lineRule="auto"/>
      <w:jc w:val="center"/>
    </w:pPr>
    <w:rPr>
      <w:b/>
      <w:sz w:val="28"/>
      <w:szCs w:val="2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2E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EEC"/>
    <w:rPr>
      <w:rFonts w:ascii="Segoe UI" w:hAnsi="Segoe UI" w:cs="Segoe UI"/>
      <w:sz w:val="18"/>
      <w:szCs w:val="18"/>
    </w:rPr>
  </w:style>
  <w:style w:type="paragraph" w:styleId="Header">
    <w:name w:val="header"/>
    <w:basedOn w:val="Normal"/>
    <w:link w:val="HeaderChar"/>
    <w:uiPriority w:val="99"/>
    <w:unhideWhenUsed/>
    <w:rsid w:val="004C2EEC"/>
    <w:pPr>
      <w:tabs>
        <w:tab w:val="center" w:pos="4680"/>
        <w:tab w:val="right" w:pos="9360"/>
      </w:tabs>
      <w:spacing w:line="240" w:lineRule="auto"/>
    </w:pPr>
  </w:style>
  <w:style w:type="character" w:customStyle="1" w:styleId="HeaderChar">
    <w:name w:val="Header Char"/>
    <w:basedOn w:val="DefaultParagraphFont"/>
    <w:link w:val="Header"/>
    <w:uiPriority w:val="99"/>
    <w:rsid w:val="004C2EEC"/>
  </w:style>
  <w:style w:type="paragraph" w:styleId="Footer">
    <w:name w:val="footer"/>
    <w:basedOn w:val="Normal"/>
    <w:link w:val="FooterChar"/>
    <w:uiPriority w:val="99"/>
    <w:unhideWhenUsed/>
    <w:rsid w:val="004C2EEC"/>
    <w:pPr>
      <w:tabs>
        <w:tab w:val="center" w:pos="4680"/>
        <w:tab w:val="right" w:pos="9360"/>
      </w:tabs>
      <w:spacing w:line="240" w:lineRule="auto"/>
    </w:pPr>
  </w:style>
  <w:style w:type="character" w:customStyle="1" w:styleId="FooterChar">
    <w:name w:val="Footer Char"/>
    <w:basedOn w:val="DefaultParagraphFont"/>
    <w:link w:val="Footer"/>
    <w:uiPriority w:val="99"/>
    <w:rsid w:val="004C2EEC"/>
  </w:style>
  <w:style w:type="character" w:styleId="Hyperlink">
    <w:name w:val="Hyperlink"/>
    <w:basedOn w:val="DefaultParagraphFont"/>
    <w:uiPriority w:val="99"/>
    <w:unhideWhenUsed/>
    <w:rsid w:val="0055542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13EF0"/>
    <w:rPr>
      <w:b/>
      <w:bCs/>
    </w:rPr>
  </w:style>
  <w:style w:type="character" w:customStyle="1" w:styleId="CommentSubjectChar">
    <w:name w:val="Comment Subject Char"/>
    <w:basedOn w:val="CommentTextChar"/>
    <w:link w:val="CommentSubject"/>
    <w:uiPriority w:val="99"/>
    <w:semiHidden/>
    <w:rsid w:val="00913EF0"/>
    <w:rPr>
      <w:b/>
      <w:bCs/>
      <w:sz w:val="20"/>
      <w:szCs w:val="20"/>
    </w:rPr>
  </w:style>
  <w:style w:type="character" w:styleId="FollowedHyperlink">
    <w:name w:val="FollowedHyperlink"/>
    <w:basedOn w:val="DefaultParagraphFont"/>
    <w:uiPriority w:val="99"/>
    <w:semiHidden/>
    <w:unhideWhenUsed/>
    <w:rsid w:val="0023077A"/>
    <w:rPr>
      <w:color w:val="800080" w:themeColor="followed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0B73C7"/>
    <w:rPr>
      <w:color w:val="605E5C"/>
      <w:shd w:val="clear" w:color="auto" w:fill="E1DFDD"/>
    </w:rPr>
  </w:style>
  <w:style w:type="paragraph" w:styleId="ListParagraph">
    <w:name w:val="List Paragraph"/>
    <w:basedOn w:val="Normal"/>
    <w:uiPriority w:val="34"/>
    <w:qFormat/>
    <w:rsid w:val="00EE4E56"/>
    <w:pPr>
      <w:ind w:left="720"/>
      <w:contextualSpacing/>
    </w:pPr>
  </w:style>
  <w:style w:type="character" w:customStyle="1" w:styleId="UnresolvedMention">
    <w:name w:val="Unresolved Mention"/>
    <w:basedOn w:val="DefaultParagraphFont"/>
    <w:uiPriority w:val="99"/>
    <w:semiHidden/>
    <w:unhideWhenUsed/>
    <w:rsid w:val="00AB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cott.kizner@doe.virginia.gov" TargetMode="External"/><Relationship Id="rId18" Type="http://schemas.openxmlformats.org/officeDocument/2006/relationships/hyperlink" Target="https://law.lis.virginia.gov/vacode/title22.1/chapter13.2/section22.1-253.13:1/" TargetMode="External"/><Relationship Id="rId26" Type="http://schemas.openxmlformats.org/officeDocument/2006/relationships/hyperlink" Target="https://law.lis.virginia.gov/vacode/title22.1/chapter13.2/section22.1-253.13:5/" TargetMode="External"/><Relationship Id="rId3" Type="http://schemas.openxmlformats.org/officeDocument/2006/relationships/styles" Target="styles.xml"/><Relationship Id="rId21" Type="http://schemas.openxmlformats.org/officeDocument/2006/relationships/hyperlink" Target="https://law.lis.virginia.gov/vacode/title22.1/chapter13.2/section22.1-253.13:2/" TargetMode="External"/><Relationship Id="rId7" Type="http://schemas.openxmlformats.org/officeDocument/2006/relationships/endnotes" Target="endnotes.xml"/><Relationship Id="rId12" Type="http://schemas.openxmlformats.org/officeDocument/2006/relationships/hyperlink" Target="https://docs.google.com/forms/d/e/1FAIpQLSfheSjGhrVCVmFIyS2zKjqZlHw9ipP1BSPErhUjDLPuPU-eSQ/viewform?usp=sf_link" TargetMode="External"/><Relationship Id="rId17" Type="http://schemas.openxmlformats.org/officeDocument/2006/relationships/hyperlink" Target="mailto:scott.kizner@doe.virginia.gov" TargetMode="External"/><Relationship Id="rId25" Type="http://schemas.openxmlformats.org/officeDocument/2006/relationships/hyperlink" Target="https://law.lis.virginia.gov/vacode/title22.1/chapter13.2/section22.1-253.13:4/" TargetMode="External"/><Relationship Id="rId2" Type="http://schemas.openxmlformats.org/officeDocument/2006/relationships/numbering" Target="numbering.xml"/><Relationship Id="rId16" Type="http://schemas.openxmlformats.org/officeDocument/2006/relationships/hyperlink" Target="https://docs.google.com/forms/d/e/1FAIpQLSfheSjGhrVCVmFIyS2zKjqZlHw9ipP1BSPErhUjDLPuPU-eSQ/viewform?usp=sf_link" TargetMode="External"/><Relationship Id="rId20" Type="http://schemas.openxmlformats.org/officeDocument/2006/relationships/hyperlink" Target="https://law.lis.virginia.gov/vacode/title22.1/chapter13.2/section22.1-253.13:2/" TargetMode="External"/><Relationship Id="rId29" Type="http://schemas.openxmlformats.org/officeDocument/2006/relationships/hyperlink" Target="https://law.lis.virginia.gov/vacode/title22.1/chapter13.2/section22.1-253.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aw.lis.virginia.gov/vacode/title22.1/chapter13.2/section22.1-253.1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ott.kizner@doe.virginia.gov" TargetMode="External"/><Relationship Id="rId23" Type="http://schemas.openxmlformats.org/officeDocument/2006/relationships/hyperlink" Target="https://law.lis.virginia.gov/vacode/title22.1/chapter13.2/section22.1-253.13:2/" TargetMode="External"/><Relationship Id="rId28" Type="http://schemas.openxmlformats.org/officeDocument/2006/relationships/hyperlink" Target="https://law.lis.virginia.gov/vacode/title22.1/chapter13.2/section22.1-253.13:6/" TargetMode="External"/><Relationship Id="rId10" Type="http://schemas.openxmlformats.org/officeDocument/2006/relationships/header" Target="header2.xml"/><Relationship Id="rId19" Type="http://schemas.openxmlformats.org/officeDocument/2006/relationships/hyperlink" Target="https://law.lis.virginia.gov/vacode/title22.1/chapter13.2/section22.1-253.1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forms/d/e/1FAIpQLSfheSjGhrVCVmFIyS2zKjqZlHw9ipP1BSPErhUjDLPuPU-eSQ/viewform?usp=sf_link" TargetMode="External"/><Relationship Id="rId22" Type="http://schemas.openxmlformats.org/officeDocument/2006/relationships/hyperlink" Target="https://law.lis.virginia.gov/vacode/title22.1/chapter13.2/section22.1-253.13:2/" TargetMode="External"/><Relationship Id="rId27" Type="http://schemas.openxmlformats.org/officeDocument/2006/relationships/hyperlink" Target="https://law.lis.virginia.gov/vacode/title22.1/chapter13.2/section22.1-253.13:5/" TargetMode="External"/><Relationship Id="rId30" Type="http://schemas.openxmlformats.org/officeDocument/2006/relationships/hyperlink" Target="https://law.lis.virginia.gov/vacode/title22.1/chapter13.2/section22.1-253.13: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oaEcHw2evz+8wr5gzCItY3g+Mw==">AMUW2mVcPJtfDTUHQjR1TUal4ySfYqvXAoCgPBzye0kN/Cj9nC64bHaZURk4NQ7qY072HikT3CYMoB34fMcwGCXuEGzXqtucYi2qzUUPprsCbDwE78+uJDEj8YXDwCJQk5wnrr0WOQ3c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SOQ Compliance Verification Documentation Instruction Sheet</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SOQ Compliance Verification Documentation Instruction Sheet</dc:title>
  <dc:creator>Sale, Leslie (DOE)</dc:creator>
  <cp:lastModifiedBy>VITA Program</cp:lastModifiedBy>
  <cp:revision>2</cp:revision>
  <dcterms:created xsi:type="dcterms:W3CDTF">2022-01-06T20:37:00Z</dcterms:created>
  <dcterms:modified xsi:type="dcterms:W3CDTF">2022-01-06T20:37:00Z</dcterms:modified>
</cp:coreProperties>
</file>