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2C57" w14:textId="6B59E9F9" w:rsidR="009239FF" w:rsidRPr="00FC3928" w:rsidRDefault="009239FF" w:rsidP="00FC3928">
      <w:pPr>
        <w:pStyle w:val="Heading1"/>
        <w:spacing w:before="0" w:line="240" w:lineRule="auto"/>
        <w:jc w:val="right"/>
        <w:rPr>
          <w:rFonts w:ascii="Times New Roman" w:eastAsia="Trebuchet MS" w:hAnsi="Times New Roman" w:cs="Times New Roman"/>
          <w:color w:val="000000"/>
          <w:sz w:val="24"/>
          <w:szCs w:val="24"/>
          <w:highlight w:val="white"/>
        </w:rPr>
      </w:pPr>
      <w:r w:rsidRPr="00FC3928">
        <w:rPr>
          <w:rFonts w:ascii="Times New Roman" w:eastAsia="Trebuchet MS" w:hAnsi="Times New Roman" w:cs="Times New Roman"/>
          <w:color w:val="000000"/>
          <w:sz w:val="24"/>
          <w:szCs w:val="24"/>
          <w:highlight w:val="white"/>
        </w:rPr>
        <w:t>Attachment A</w:t>
      </w:r>
    </w:p>
    <w:p w14:paraId="7371D5D0" w14:textId="6C43B291" w:rsidR="009239FF" w:rsidRPr="00FC3928" w:rsidRDefault="009239FF" w:rsidP="00FC3928">
      <w:pPr>
        <w:spacing w:after="0" w:line="240" w:lineRule="auto"/>
        <w:jc w:val="right"/>
        <w:rPr>
          <w:rFonts w:ascii="Times New Roman" w:hAnsi="Times New Roman" w:cs="Times New Roman"/>
          <w:highlight w:val="white"/>
        </w:rPr>
      </w:pPr>
      <w:r w:rsidRPr="00FC3928">
        <w:rPr>
          <w:rFonts w:ascii="Times New Roman" w:hAnsi="Times New Roman" w:cs="Times New Roman"/>
          <w:highlight w:val="white"/>
        </w:rPr>
        <w:t>Superintendent’s Memo #</w:t>
      </w:r>
      <w:r w:rsidR="00C307FB">
        <w:rPr>
          <w:rFonts w:ascii="Times New Roman" w:hAnsi="Times New Roman" w:cs="Times New Roman"/>
          <w:highlight w:val="white"/>
        </w:rPr>
        <w:t>175</w:t>
      </w:r>
      <w:bookmarkStart w:id="0" w:name="_GoBack"/>
      <w:bookmarkEnd w:id="0"/>
      <w:r w:rsidRPr="00FC3928">
        <w:rPr>
          <w:rFonts w:ascii="Times New Roman" w:hAnsi="Times New Roman" w:cs="Times New Roman"/>
          <w:highlight w:val="white"/>
        </w:rPr>
        <w:t>-22</w:t>
      </w:r>
    </w:p>
    <w:p w14:paraId="3A06546A" w14:textId="46BA590E" w:rsidR="009239FF" w:rsidRPr="00FC3928" w:rsidRDefault="00FC3928" w:rsidP="00FC3928">
      <w:pPr>
        <w:spacing w:after="0" w:line="240" w:lineRule="auto"/>
        <w:jc w:val="right"/>
        <w:rPr>
          <w:rFonts w:ascii="Times New Roman" w:hAnsi="Times New Roman" w:cs="Times New Roman"/>
          <w:highlight w:val="white"/>
        </w:rPr>
      </w:pPr>
      <w:r w:rsidRPr="00FC3928">
        <w:rPr>
          <w:rFonts w:ascii="Times New Roman" w:hAnsi="Times New Roman" w:cs="Times New Roman"/>
          <w:highlight w:val="white"/>
        </w:rPr>
        <w:t>August 12</w:t>
      </w:r>
      <w:r w:rsidR="009239FF" w:rsidRPr="00FC3928">
        <w:rPr>
          <w:rFonts w:ascii="Times New Roman" w:hAnsi="Times New Roman" w:cs="Times New Roman"/>
          <w:highlight w:val="white"/>
        </w:rPr>
        <w:t>, 2022</w:t>
      </w:r>
    </w:p>
    <w:p w14:paraId="51629833" w14:textId="77777777" w:rsidR="009239FF" w:rsidRPr="00FC3928" w:rsidRDefault="009239FF" w:rsidP="00FC3928">
      <w:pPr>
        <w:spacing w:after="0" w:line="240" w:lineRule="auto"/>
        <w:jc w:val="right"/>
        <w:rPr>
          <w:rFonts w:ascii="Times New Roman" w:hAnsi="Times New Roman" w:cs="Times New Roman"/>
          <w:highlight w:val="white"/>
        </w:rPr>
      </w:pPr>
    </w:p>
    <w:p w14:paraId="00000001" w14:textId="74517048" w:rsidR="008D1C51" w:rsidRPr="00FC3928" w:rsidRDefault="00FC3928" w:rsidP="00FC3928">
      <w:pPr>
        <w:pStyle w:val="Heading1"/>
        <w:spacing w:before="0" w:line="240" w:lineRule="auto"/>
        <w:jc w:val="center"/>
        <w:rPr>
          <w:rFonts w:ascii="Times New Roman" w:eastAsia="Trebuchet MS" w:hAnsi="Times New Roman" w:cs="Times New Roman"/>
          <w:color w:val="000000"/>
          <w:sz w:val="24"/>
          <w:szCs w:val="24"/>
          <w:highlight w:val="white"/>
        </w:rPr>
      </w:pPr>
      <w:r w:rsidRPr="00FC3928">
        <w:rPr>
          <w:rFonts w:ascii="Times New Roman" w:eastAsia="Trebuchet MS" w:hAnsi="Times New Roman" w:cs="Times New Roman"/>
          <w:color w:val="000000"/>
          <w:sz w:val="24"/>
          <w:szCs w:val="24"/>
          <w:highlight w:val="white"/>
        </w:rPr>
        <w:t xml:space="preserve">Fiscal Year </w:t>
      </w:r>
      <w:r w:rsidR="009239FF" w:rsidRPr="00FC3928">
        <w:rPr>
          <w:rFonts w:ascii="Times New Roman" w:eastAsia="Trebuchet MS" w:hAnsi="Times New Roman" w:cs="Times New Roman"/>
          <w:color w:val="000000"/>
          <w:sz w:val="24"/>
          <w:szCs w:val="24"/>
          <w:highlight w:val="white"/>
        </w:rPr>
        <w:t>202</w:t>
      </w:r>
      <w:r w:rsidRPr="00FC3928">
        <w:rPr>
          <w:rFonts w:ascii="Times New Roman" w:eastAsia="Trebuchet MS" w:hAnsi="Times New Roman" w:cs="Times New Roman"/>
          <w:color w:val="000000"/>
          <w:sz w:val="24"/>
          <w:szCs w:val="24"/>
          <w:highlight w:val="white"/>
        </w:rPr>
        <w:t>3</w:t>
      </w:r>
      <w:r w:rsidR="009239FF" w:rsidRPr="00FC3928">
        <w:rPr>
          <w:rFonts w:ascii="Times New Roman" w:eastAsia="Trebuchet MS" w:hAnsi="Times New Roman" w:cs="Times New Roman"/>
          <w:color w:val="000000"/>
          <w:sz w:val="24"/>
          <w:szCs w:val="24"/>
          <w:highlight w:val="white"/>
        </w:rPr>
        <w:t xml:space="preserve"> Local Mandate Assessment</w:t>
      </w:r>
      <w:r w:rsidRPr="00FC3928">
        <w:rPr>
          <w:rFonts w:ascii="Times New Roman" w:eastAsia="Trebuchet MS" w:hAnsi="Times New Roman" w:cs="Times New Roman"/>
          <w:color w:val="000000"/>
          <w:sz w:val="24"/>
          <w:szCs w:val="24"/>
          <w:highlight w:val="white"/>
        </w:rPr>
        <w:t>s</w:t>
      </w:r>
      <w:r w:rsidR="009239FF" w:rsidRPr="00FC3928">
        <w:rPr>
          <w:rFonts w:ascii="Times New Roman" w:eastAsia="Trebuchet MS" w:hAnsi="Times New Roman" w:cs="Times New Roman"/>
          <w:color w:val="000000"/>
          <w:sz w:val="24"/>
          <w:szCs w:val="24"/>
          <w:highlight w:val="white"/>
        </w:rPr>
        <w:t xml:space="preserve"> – Selected Local Mandates</w:t>
      </w:r>
    </w:p>
    <w:p w14:paraId="00000002" w14:textId="77777777" w:rsidR="008D1C51" w:rsidRPr="00FC3928" w:rsidRDefault="008D1C51" w:rsidP="00FC3928">
      <w:pPr>
        <w:shd w:val="clear" w:color="auto" w:fill="FFFFFF"/>
        <w:spacing w:after="0" w:line="240" w:lineRule="auto"/>
        <w:rPr>
          <w:rFonts w:ascii="Times New Roman" w:eastAsia="Trebuchet MS" w:hAnsi="Times New Roman" w:cs="Times New Roman"/>
          <w:color w:val="222222"/>
          <w:highlight w:val="white"/>
        </w:rPr>
      </w:pPr>
    </w:p>
    <w:p w14:paraId="2C325914" w14:textId="77777777" w:rsidR="00FC3928" w:rsidRDefault="00FC3928" w:rsidP="00FC3928">
      <w:pPr>
        <w:pStyle w:val="ListParagraph"/>
        <w:numPr>
          <w:ilvl w:val="0"/>
          <w:numId w:val="2"/>
        </w:numPr>
        <w:pBdr>
          <w:top w:val="nil"/>
          <w:left w:val="nil"/>
          <w:bottom w:val="nil"/>
          <w:right w:val="nil"/>
          <w:between w:val="nil"/>
        </w:pBdr>
        <w:shd w:val="clear" w:color="auto" w:fill="FFFFFF"/>
        <w:spacing w:after="0" w:line="240" w:lineRule="auto"/>
        <w:rPr>
          <w:rFonts w:ascii="Times New Roman" w:eastAsia="Trebuchet MS" w:hAnsi="Times New Roman" w:cs="Times New Roman"/>
          <w:color w:val="222222"/>
          <w:highlight w:val="white"/>
        </w:rPr>
      </w:pPr>
      <w:r w:rsidRPr="00FC3928">
        <w:rPr>
          <w:rFonts w:ascii="Times New Roman" w:eastAsia="Trebuchet MS" w:hAnsi="Times New Roman" w:cs="Times New Roman"/>
          <w:b/>
          <w:bCs/>
          <w:color w:val="222222"/>
          <w:highlight w:val="white"/>
        </w:rPr>
        <w:t>Competency-Based Career and Technical Education Program and</w:t>
      </w:r>
      <w:r w:rsidRPr="00651F69">
        <w:rPr>
          <w:rFonts w:ascii="Times New Roman" w:eastAsia="Trebuchet MS" w:hAnsi="Times New Roman" w:cs="Times New Roman"/>
          <w:b/>
          <w:bCs/>
          <w:color w:val="222222"/>
          <w:highlight w:val="white"/>
        </w:rPr>
        <w:t xml:space="preserve"> Standards</w:t>
      </w:r>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SOE.DOE062</w:t>
      </w:r>
      <w:r>
        <w:rPr>
          <w:rFonts w:ascii="Times New Roman" w:eastAsia="Trebuchet MS" w:hAnsi="Times New Roman" w:cs="Times New Roman"/>
          <w:color w:val="222222"/>
          <w:highlight w:val="white"/>
        </w:rPr>
        <w:t>)</w:t>
      </w:r>
    </w:p>
    <w:p w14:paraId="02F36AB9" w14:textId="2290232B" w:rsidR="00FC3928" w:rsidRP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School divisions are required to develop a plan for and implement competency-based career and technical education programs, in accordance with state and federal regulations, to promote knowledge of careers and types of employment, and to ensure that students are prepared to enter employment and continue formal education. The programs must include instruction about employment opportunities, labor market needs, applied basic skills, job-seeking skills, and career guidance for all secondary students, including those identified as disabled. Middle schools must offer at least one career and technical offering and each secondary school must provide at least 11 course offerings in three career and technical program areas. Plans for such programs, developed with the input of business and industry representatives and the Career and Technical Education Advisory Committee, must be submitted to the Superintendent of Public Education in addition to annual funding applications. School divisions must provide on its website information on the opportunity for students to obtain a nationally recognized career readiness certificate at a local public high school, comprehensive community college, or workforce center and implement a plan to notify students and parents of such information. School boards shall report annually to the Board of Education the number of Board-approved industry certifications obtained, state licensure examinations passed, national occupational </w:t>
      </w:r>
      <w:proofErr w:type="gramStart"/>
      <w:r w:rsidRPr="00FC3928">
        <w:rPr>
          <w:rFonts w:ascii="Times New Roman" w:eastAsia="Trebuchet MS" w:hAnsi="Times New Roman" w:cs="Times New Roman"/>
          <w:color w:val="222222"/>
          <w:highlight w:val="white"/>
        </w:rPr>
        <w:t>competency</w:t>
      </w:r>
      <w:proofErr w:type="gramEnd"/>
      <w:r w:rsidRPr="00FC3928">
        <w:rPr>
          <w:rFonts w:ascii="Times New Roman" w:eastAsia="Trebuchet MS" w:hAnsi="Times New Roman" w:cs="Times New Roman"/>
          <w:color w:val="222222"/>
          <w:highlight w:val="white"/>
        </w:rPr>
        <w:t xml:space="preserve"> assessments passed, Virginia workplace readiness skills assessments passed, and the number of career and technical education completers who graduated. Beginning with first-time ninth grade students in the 2013-2014 school year, requirements for the standard diploma must include earning an approved career and technical education credential that has been approved by the Board except when a CTE credential in a particular subject area is not readily available or appropriate or does not adequately measure student competency, in which case the student shall receive satisfactory competency-based instruction in the subject area to satisfy the requirements. Each school board must include, as part of each student's academic and career plan in the career and technical education curricula, a list of (</w:t>
      </w:r>
      <w:proofErr w:type="spellStart"/>
      <w:r w:rsidRPr="00FC3928">
        <w:rPr>
          <w:rFonts w:ascii="Times New Roman" w:eastAsia="Trebuchet MS" w:hAnsi="Times New Roman" w:cs="Times New Roman"/>
          <w:color w:val="222222"/>
          <w:highlight w:val="white"/>
        </w:rPr>
        <w:t>i</w:t>
      </w:r>
      <w:proofErr w:type="spellEnd"/>
      <w:r w:rsidRPr="00FC3928">
        <w:rPr>
          <w:rFonts w:ascii="Times New Roman" w:eastAsia="Trebuchet MS" w:hAnsi="Times New Roman" w:cs="Times New Roman"/>
          <w:color w:val="222222"/>
          <w:highlight w:val="white"/>
        </w:rPr>
        <w:t>) the top 100 professions in the Commonwealth by median pay and the education, training, and skills required for each such profession and (ii) the top 10 degree programs at institutions of higher education in the Commonwealth by median pay of program graduates.</w:t>
      </w:r>
    </w:p>
    <w:p w14:paraId="0D68F2FA" w14:textId="77777777"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59E2991A" w14:textId="386A22DD"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Type: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Compulsory Order</w:t>
      </w:r>
    </w:p>
    <w:p w14:paraId="3308C52D" w14:textId="15EB9D7E" w:rsidR="00FC3928" w:rsidRPr="00FC3928" w:rsidRDefault="00FC3928" w:rsidP="00FC3928">
      <w:pPr>
        <w:pBdr>
          <w:top w:val="nil"/>
          <w:left w:val="nil"/>
          <w:bottom w:val="nil"/>
          <w:right w:val="nil"/>
          <w:between w:val="nil"/>
        </w:pBdr>
        <w:shd w:val="clear" w:color="auto" w:fill="FFFFFF"/>
        <w:spacing w:after="0" w:line="240" w:lineRule="auto"/>
        <w:ind w:left="1440" w:hanging="1080"/>
        <w:rPr>
          <w:rStyle w:val="Hyperlink"/>
          <w:rFonts w:ascii="Times New Roman" w:eastAsia="Trebuchet MS" w:hAnsi="Times New Roman" w:cs="Times New Roman"/>
          <w:highlight w:val="white"/>
        </w:rPr>
      </w:pPr>
      <w:r w:rsidRPr="00FC3928">
        <w:rPr>
          <w:rFonts w:ascii="Times New Roman" w:eastAsia="Trebuchet MS" w:hAnsi="Times New Roman" w:cs="Times New Roman"/>
          <w:color w:val="222222"/>
          <w:highlight w:val="white"/>
        </w:rPr>
        <w:t xml:space="preserve">Authority: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 xml:space="preserve">Code of Virginia §§ </w:t>
      </w:r>
      <w:hyperlink r:id="rId6" w:history="1">
        <w:r w:rsidRPr="00FC3928">
          <w:rPr>
            <w:rStyle w:val="Hyperlink"/>
            <w:rFonts w:ascii="Times New Roman" w:eastAsia="Trebuchet MS" w:hAnsi="Times New Roman" w:cs="Times New Roman"/>
            <w:highlight w:val="white"/>
          </w:rPr>
          <w:t>22.1-253.13:1(D</w:t>
        </w:r>
        <w:proofErr w:type="gramStart"/>
        <w:r w:rsidRPr="00FC3928">
          <w:rPr>
            <w:rStyle w:val="Hyperlink"/>
            <w:rFonts w:ascii="Times New Roman" w:eastAsia="Trebuchet MS" w:hAnsi="Times New Roman" w:cs="Times New Roman"/>
            <w:highlight w:val="white"/>
          </w:rPr>
          <w:t>)(</w:t>
        </w:r>
        <w:proofErr w:type="gramEnd"/>
        <w:r w:rsidRPr="00FC3928">
          <w:rPr>
            <w:rStyle w:val="Hyperlink"/>
            <w:rFonts w:ascii="Times New Roman" w:eastAsia="Trebuchet MS" w:hAnsi="Times New Roman" w:cs="Times New Roman"/>
            <w:highlight w:val="white"/>
          </w:rPr>
          <w:t>3)</w:t>
        </w:r>
      </w:hyperlink>
      <w:r w:rsidRPr="00FC3928">
        <w:rPr>
          <w:rFonts w:ascii="Times New Roman" w:eastAsia="Trebuchet MS" w:hAnsi="Times New Roman" w:cs="Times New Roman"/>
          <w:color w:val="222222"/>
          <w:highlight w:val="white"/>
        </w:rPr>
        <w:t xml:space="preserve">, </w:t>
      </w:r>
      <w:hyperlink r:id="rId7" w:history="1">
        <w:r w:rsidRPr="00FC3928">
          <w:rPr>
            <w:rStyle w:val="Hyperlink"/>
            <w:rFonts w:ascii="Times New Roman" w:eastAsia="Trebuchet MS" w:hAnsi="Times New Roman" w:cs="Times New Roman"/>
            <w:highlight w:val="white"/>
          </w:rPr>
          <w:t>22.1-253.13:1(11)</w:t>
        </w:r>
      </w:hyperlink>
      <w:r w:rsidRPr="00FC3928">
        <w:rPr>
          <w:rFonts w:ascii="Times New Roman" w:eastAsia="Trebuchet MS" w:hAnsi="Times New Roman" w:cs="Times New Roman"/>
          <w:color w:val="222222"/>
          <w:highlight w:val="white"/>
        </w:rPr>
        <w:t xml:space="preserve">, </w:t>
      </w:r>
      <w:r>
        <w:rPr>
          <w:rFonts w:ascii="Times New Roman" w:eastAsia="Trebuchet MS" w:hAnsi="Times New Roman" w:cs="Times New Roman"/>
          <w:color w:val="222222"/>
          <w:highlight w:val="white"/>
        </w:rPr>
        <w:fldChar w:fldCharType="begin"/>
      </w:r>
      <w:r>
        <w:rPr>
          <w:rFonts w:ascii="Times New Roman" w:eastAsia="Trebuchet MS" w:hAnsi="Times New Roman" w:cs="Times New Roman"/>
          <w:color w:val="222222"/>
          <w:highlight w:val="white"/>
        </w:rPr>
        <w:instrText xml:space="preserve"> HYPERLINK "https://law.lis.virginia.gov/vacode/title22.1/chapter13.2/section22.1-253.13:4/" </w:instrText>
      </w:r>
      <w:r>
        <w:rPr>
          <w:rFonts w:ascii="Times New Roman" w:eastAsia="Trebuchet MS" w:hAnsi="Times New Roman" w:cs="Times New Roman"/>
          <w:color w:val="222222"/>
          <w:highlight w:val="white"/>
        </w:rPr>
        <w:fldChar w:fldCharType="separate"/>
      </w:r>
      <w:r w:rsidRPr="00FC3928">
        <w:rPr>
          <w:rStyle w:val="Hyperlink"/>
          <w:rFonts w:ascii="Times New Roman" w:eastAsia="Trebuchet MS" w:hAnsi="Times New Roman" w:cs="Times New Roman"/>
          <w:highlight w:val="white"/>
        </w:rPr>
        <w:t>22.1-</w:t>
      </w:r>
    </w:p>
    <w:p w14:paraId="651861B2" w14:textId="3E925D42" w:rsidR="00FC3928" w:rsidRPr="00FC3928" w:rsidRDefault="00FC3928" w:rsidP="00FC3928">
      <w:pPr>
        <w:pBdr>
          <w:top w:val="nil"/>
          <w:left w:val="nil"/>
          <w:bottom w:val="nil"/>
          <w:right w:val="nil"/>
          <w:between w:val="nil"/>
        </w:pBdr>
        <w:shd w:val="clear" w:color="auto" w:fill="FFFFFF"/>
        <w:spacing w:after="0" w:line="240" w:lineRule="auto"/>
        <w:ind w:left="2880"/>
        <w:rPr>
          <w:rFonts w:ascii="Times New Roman" w:eastAsia="Trebuchet MS" w:hAnsi="Times New Roman" w:cs="Times New Roman"/>
          <w:color w:val="222222"/>
          <w:highlight w:val="white"/>
        </w:rPr>
      </w:pPr>
      <w:r w:rsidRPr="00FC3928">
        <w:rPr>
          <w:rStyle w:val="Hyperlink"/>
          <w:rFonts w:ascii="Times New Roman" w:eastAsia="Trebuchet MS" w:hAnsi="Times New Roman" w:cs="Times New Roman"/>
          <w:highlight w:val="white"/>
        </w:rPr>
        <w:t>253.13:4</w:t>
      </w:r>
      <w:r>
        <w:rPr>
          <w:rFonts w:ascii="Times New Roman" w:eastAsia="Trebuchet MS" w:hAnsi="Times New Roman" w:cs="Times New Roman"/>
          <w:color w:val="222222"/>
          <w:highlight w:val="white"/>
        </w:rPr>
        <w:fldChar w:fldCharType="end"/>
      </w:r>
      <w:r w:rsidRPr="00FC3928">
        <w:rPr>
          <w:rFonts w:ascii="Times New Roman" w:eastAsia="Trebuchet MS" w:hAnsi="Times New Roman" w:cs="Times New Roman"/>
          <w:color w:val="222222"/>
          <w:highlight w:val="white"/>
        </w:rPr>
        <w:t xml:space="preserve">, and </w:t>
      </w:r>
      <w:hyperlink r:id="rId8" w:history="1">
        <w:r w:rsidRPr="00FC3928">
          <w:rPr>
            <w:rStyle w:val="Hyperlink"/>
            <w:rFonts w:ascii="Times New Roman" w:eastAsia="Trebuchet MS" w:hAnsi="Times New Roman" w:cs="Times New Roman"/>
            <w:highlight w:val="white"/>
          </w:rPr>
          <w:t>22.1-227.1</w:t>
        </w:r>
      </w:hyperlink>
      <w:r w:rsidRPr="00FC3928">
        <w:rPr>
          <w:rFonts w:ascii="Times New Roman" w:eastAsia="Trebuchet MS" w:hAnsi="Times New Roman" w:cs="Times New Roman"/>
          <w:color w:val="222222"/>
          <w:highlight w:val="white"/>
        </w:rPr>
        <w:t xml:space="preserve">; State Board of Education Regulations </w:t>
      </w:r>
      <w:hyperlink r:id="rId9" w:history="1">
        <w:r w:rsidRPr="00FC3928">
          <w:rPr>
            <w:rStyle w:val="Hyperlink"/>
            <w:rFonts w:ascii="Times New Roman" w:eastAsia="Trebuchet MS" w:hAnsi="Times New Roman" w:cs="Times New Roman"/>
            <w:highlight w:val="white"/>
          </w:rPr>
          <w:t>8 VAC 20-120-10 et seq</w:t>
        </w:r>
      </w:hyperlink>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 xml:space="preserve">Carl D. Perkins Vocational and Technical Education Act of 1998 (Fed.); </w:t>
      </w:r>
      <w:hyperlink r:id="rId10" w:anchor="page=2" w:history="1">
        <w:r w:rsidRPr="00FC3928">
          <w:rPr>
            <w:rStyle w:val="Hyperlink"/>
            <w:rFonts w:ascii="Times New Roman" w:eastAsia="Trebuchet MS" w:hAnsi="Times New Roman" w:cs="Times New Roman"/>
            <w:highlight w:val="white"/>
          </w:rPr>
          <w:t>P.L. 105-332</w:t>
        </w:r>
      </w:hyperlink>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 xml:space="preserve">(Fed.); </w:t>
      </w:r>
      <w:hyperlink r:id="rId11" w:history="1">
        <w:r w:rsidRPr="00FC3928">
          <w:rPr>
            <w:rStyle w:val="Hyperlink"/>
            <w:rFonts w:ascii="Times New Roman" w:eastAsia="Trebuchet MS" w:hAnsi="Times New Roman" w:cs="Times New Roman"/>
            <w:highlight w:val="white"/>
          </w:rPr>
          <w:t>20 U.S.C. 2301</w:t>
        </w:r>
      </w:hyperlink>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(Fed.)</w:t>
      </w:r>
    </w:p>
    <w:p w14:paraId="16DBA99F" w14:textId="31A03EC7"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Period: </w:t>
      </w:r>
      <w:r w:rsidRPr="00FC3928">
        <w:rPr>
          <w:rFonts w:ascii="Times New Roman" w:eastAsia="Trebuchet MS" w:hAnsi="Times New Roman" w:cs="Times New Roman"/>
          <w:color w:val="222222"/>
          <w:highlight w:val="white"/>
        </w:rPr>
        <w:tab/>
        <w:t>07/01/2015 to 08/31/2015</w:t>
      </w:r>
    </w:p>
    <w:p w14:paraId="0406FD53" w14:textId="77777777"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Finding: </w:t>
      </w:r>
      <w:r w:rsidRPr="00FC3928">
        <w:rPr>
          <w:rFonts w:ascii="Times New Roman" w:eastAsia="Trebuchet MS" w:hAnsi="Times New Roman" w:cs="Times New Roman"/>
          <w:color w:val="222222"/>
          <w:highlight w:val="white"/>
        </w:rPr>
        <w:tab/>
        <w:t>Retain</w:t>
      </w:r>
    </w:p>
    <w:p w14:paraId="786787A0" w14:textId="4775E4AD" w:rsidR="00FC3928" w:rsidRP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Assessment:  </w:t>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hyperlink r:id="rId12" w:history="1">
        <w:r w:rsidRPr="00FC3928">
          <w:rPr>
            <w:rStyle w:val="Hyperlink"/>
            <w:rFonts w:ascii="Times New Roman" w:eastAsia="Trebuchet MS" w:hAnsi="Times New Roman" w:cs="Times New Roman"/>
            <w:highlight w:val="white"/>
          </w:rPr>
          <w:t>SOE.DOE062.pdf</w:t>
        </w:r>
      </w:hyperlink>
    </w:p>
    <w:p w14:paraId="10DF9E9F" w14:textId="2A243609"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4A39B264" w14:textId="77777777"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137967EB" w14:textId="77777777" w:rsidR="00FC3928" w:rsidRDefault="00FC3928" w:rsidP="00FC3928">
      <w:pPr>
        <w:pStyle w:val="ListParagraph"/>
        <w:numPr>
          <w:ilvl w:val="0"/>
          <w:numId w:val="2"/>
        </w:numPr>
        <w:pBdr>
          <w:top w:val="nil"/>
          <w:left w:val="nil"/>
          <w:bottom w:val="nil"/>
          <w:right w:val="nil"/>
          <w:between w:val="nil"/>
        </w:pBdr>
        <w:shd w:val="clear" w:color="auto" w:fill="FFFFFF"/>
        <w:spacing w:after="0" w:line="240" w:lineRule="auto"/>
        <w:rPr>
          <w:rFonts w:ascii="Times New Roman" w:eastAsia="Trebuchet MS" w:hAnsi="Times New Roman" w:cs="Times New Roman"/>
          <w:color w:val="222222"/>
          <w:highlight w:val="white"/>
        </w:rPr>
      </w:pPr>
      <w:r w:rsidRPr="00FC3928">
        <w:rPr>
          <w:rFonts w:ascii="Times New Roman" w:eastAsia="Trebuchet MS" w:hAnsi="Times New Roman" w:cs="Times New Roman"/>
          <w:b/>
          <w:bCs/>
          <w:color w:val="222222"/>
          <w:highlight w:val="white"/>
        </w:rPr>
        <w:t>Early Identification and Provision of Special Education Services for Students with Disabilities</w:t>
      </w:r>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SOE.DOE069</w:t>
      </w:r>
      <w:r>
        <w:rPr>
          <w:rFonts w:ascii="Times New Roman" w:eastAsia="Trebuchet MS" w:hAnsi="Times New Roman" w:cs="Times New Roman"/>
          <w:color w:val="222222"/>
          <w:highlight w:val="white"/>
        </w:rPr>
        <w:t>)</w:t>
      </w:r>
    </w:p>
    <w:p w14:paraId="141E1821"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School divisions are required to implement early identification of students with disabilities and to </w:t>
      </w:r>
    </w:p>
    <w:p w14:paraId="79393D17"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enroll</w:t>
      </w:r>
      <w:proofErr w:type="gramEnd"/>
      <w:r w:rsidRPr="00FC3928">
        <w:rPr>
          <w:rFonts w:ascii="Times New Roman" w:eastAsia="Trebuchet MS" w:hAnsi="Times New Roman" w:cs="Times New Roman"/>
          <w:color w:val="222222"/>
          <w:highlight w:val="white"/>
        </w:rPr>
        <w:t xml:space="preserve"> such students in appropriate instructional programs consistent with State and federal law. Each </w:t>
      </w:r>
    </w:p>
    <w:p w14:paraId="53B11251"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local</w:t>
      </w:r>
      <w:proofErr w:type="gramEnd"/>
      <w:r w:rsidRPr="00FC3928">
        <w:rPr>
          <w:rFonts w:ascii="Times New Roman" w:eastAsia="Trebuchet MS" w:hAnsi="Times New Roman" w:cs="Times New Roman"/>
          <w:color w:val="222222"/>
          <w:highlight w:val="white"/>
        </w:rPr>
        <w:t xml:space="preserve"> school board shall enact a policy to require that timely written notification is provided to the </w:t>
      </w:r>
    </w:p>
    <w:p w14:paraId="080FA19C"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parents</w:t>
      </w:r>
      <w:proofErr w:type="gramEnd"/>
      <w:r w:rsidRPr="00FC3928">
        <w:rPr>
          <w:rFonts w:ascii="Times New Roman" w:eastAsia="Trebuchet MS" w:hAnsi="Times New Roman" w:cs="Times New Roman"/>
          <w:color w:val="222222"/>
          <w:highlight w:val="white"/>
        </w:rPr>
        <w:t xml:space="preserve"> of any student who: (I undergoes literacy and Response to Intervention screening and </w:t>
      </w:r>
    </w:p>
    <w:p w14:paraId="56F8E771" w14:textId="4642E5CB"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services</w:t>
      </w:r>
      <w:proofErr w:type="gramEnd"/>
      <w:r w:rsidRPr="00FC3928">
        <w:rPr>
          <w:rFonts w:ascii="Times New Roman" w:eastAsia="Trebuchet MS" w:hAnsi="Times New Roman" w:cs="Times New Roman"/>
          <w:color w:val="222222"/>
          <w:highlight w:val="white"/>
        </w:rPr>
        <w:t xml:space="preserve">; or (ii) does not meet the benchmark on any assessment used to determine at-risk learners in </w:t>
      </w:r>
    </w:p>
    <w:p w14:paraId="4943B9FC"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preschool</w:t>
      </w:r>
      <w:proofErr w:type="gramEnd"/>
      <w:r w:rsidRPr="00FC3928">
        <w:rPr>
          <w:rFonts w:ascii="Times New Roman" w:eastAsia="Trebuchet MS" w:hAnsi="Times New Roman" w:cs="Times New Roman"/>
          <w:color w:val="222222"/>
          <w:highlight w:val="white"/>
        </w:rPr>
        <w:t xml:space="preserve"> through grade 12, which notification shall include all such assessment scores and </w:t>
      </w:r>
      <w:proofErr w:type="spellStart"/>
      <w:r w:rsidRPr="00FC3928">
        <w:rPr>
          <w:rFonts w:ascii="Times New Roman" w:eastAsia="Trebuchet MS" w:hAnsi="Times New Roman" w:cs="Times New Roman"/>
          <w:color w:val="222222"/>
          <w:highlight w:val="white"/>
        </w:rPr>
        <w:t>subscores</w:t>
      </w:r>
      <w:proofErr w:type="spellEnd"/>
      <w:r w:rsidRPr="00FC3928">
        <w:rPr>
          <w:rFonts w:ascii="Times New Roman" w:eastAsia="Trebuchet MS" w:hAnsi="Times New Roman" w:cs="Times New Roman"/>
          <w:color w:val="222222"/>
          <w:highlight w:val="white"/>
        </w:rPr>
        <w:t xml:space="preserve"> </w:t>
      </w:r>
    </w:p>
    <w:p w14:paraId="0EE4239F" w14:textId="25D3CBF2"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lastRenderedPageBreak/>
        <w:t>and</w:t>
      </w:r>
      <w:proofErr w:type="gramEnd"/>
      <w:r w:rsidRPr="00FC3928">
        <w:rPr>
          <w:rFonts w:ascii="Times New Roman" w:eastAsia="Trebuchet MS" w:hAnsi="Times New Roman" w:cs="Times New Roman"/>
          <w:color w:val="222222"/>
          <w:highlight w:val="white"/>
        </w:rPr>
        <w:t xml:space="preserve"> any intervention plan that results from such assessment scores or </w:t>
      </w:r>
      <w:proofErr w:type="spellStart"/>
      <w:r w:rsidRPr="00FC3928">
        <w:rPr>
          <w:rFonts w:ascii="Times New Roman" w:eastAsia="Trebuchet MS" w:hAnsi="Times New Roman" w:cs="Times New Roman"/>
          <w:color w:val="222222"/>
          <w:highlight w:val="white"/>
        </w:rPr>
        <w:t>subscores</w:t>
      </w:r>
      <w:proofErr w:type="spellEnd"/>
      <w:r w:rsidRPr="00FC3928">
        <w:rPr>
          <w:rFonts w:ascii="Times New Roman" w:eastAsia="Trebuchet MS" w:hAnsi="Times New Roman" w:cs="Times New Roman"/>
          <w:color w:val="222222"/>
          <w:highlight w:val="white"/>
        </w:rPr>
        <w:t>.</w:t>
      </w:r>
    </w:p>
    <w:p w14:paraId="5E718333" w14:textId="77777777"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61374C79" w14:textId="0F767025"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Type: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Compulsory Order</w:t>
      </w:r>
    </w:p>
    <w:p w14:paraId="5D791F6C" w14:textId="53A7ABF4"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Authority: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 xml:space="preserve">Code of Virginia §§ </w:t>
      </w:r>
      <w:hyperlink r:id="rId13" w:history="1">
        <w:r w:rsidRPr="00FC3928">
          <w:rPr>
            <w:rStyle w:val="Hyperlink"/>
            <w:rFonts w:ascii="Times New Roman" w:eastAsia="Trebuchet MS" w:hAnsi="Times New Roman" w:cs="Times New Roman"/>
            <w:highlight w:val="white"/>
          </w:rPr>
          <w:t>22.1-215.2</w:t>
        </w:r>
      </w:hyperlink>
      <w:r w:rsidRPr="00FC3928">
        <w:rPr>
          <w:rFonts w:ascii="Times New Roman" w:eastAsia="Trebuchet MS" w:hAnsi="Times New Roman" w:cs="Times New Roman"/>
          <w:color w:val="222222"/>
          <w:highlight w:val="white"/>
        </w:rPr>
        <w:t xml:space="preserve"> and </w:t>
      </w:r>
      <w:hyperlink r:id="rId14" w:history="1">
        <w:r w:rsidRPr="00FC3928">
          <w:rPr>
            <w:rStyle w:val="Hyperlink"/>
            <w:rFonts w:ascii="Times New Roman" w:eastAsia="Trebuchet MS" w:hAnsi="Times New Roman" w:cs="Times New Roman"/>
            <w:highlight w:val="white"/>
          </w:rPr>
          <w:t>22.1-253.13:1(D)</w:t>
        </w:r>
      </w:hyperlink>
      <w:r w:rsidRPr="00FC3928">
        <w:rPr>
          <w:rFonts w:ascii="Times New Roman" w:eastAsia="Trebuchet MS" w:hAnsi="Times New Roman" w:cs="Times New Roman"/>
          <w:color w:val="222222"/>
          <w:highlight w:val="white"/>
        </w:rPr>
        <w:t xml:space="preserve">; State Board of </w:t>
      </w:r>
    </w:p>
    <w:p w14:paraId="3470FD34" w14:textId="09C0CACD" w:rsidR="00FC3928" w:rsidRPr="00FC3928" w:rsidRDefault="00FC3928" w:rsidP="00FC3928">
      <w:pPr>
        <w:pBdr>
          <w:top w:val="nil"/>
          <w:left w:val="nil"/>
          <w:bottom w:val="nil"/>
          <w:right w:val="nil"/>
          <w:between w:val="nil"/>
        </w:pBdr>
        <w:shd w:val="clear" w:color="auto" w:fill="FFFFFF"/>
        <w:spacing w:after="0" w:line="240" w:lineRule="auto"/>
        <w:ind w:left="288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Education Regulations </w:t>
      </w:r>
      <w:hyperlink r:id="rId15" w:history="1">
        <w:r w:rsidRPr="00FC3928">
          <w:rPr>
            <w:rStyle w:val="Hyperlink"/>
            <w:rFonts w:ascii="Times New Roman" w:eastAsia="Trebuchet MS" w:hAnsi="Times New Roman" w:cs="Times New Roman"/>
            <w:highlight w:val="white"/>
          </w:rPr>
          <w:t xml:space="preserve">8 VAC 20-81-10 </w:t>
        </w:r>
        <w:proofErr w:type="gramStart"/>
        <w:r w:rsidRPr="00FC3928">
          <w:rPr>
            <w:rStyle w:val="Hyperlink"/>
            <w:rFonts w:ascii="Times New Roman" w:eastAsia="Trebuchet MS" w:hAnsi="Times New Roman" w:cs="Times New Roman"/>
            <w:highlight w:val="white"/>
          </w:rPr>
          <w:t>et</w:t>
        </w:r>
        <w:proofErr w:type="gramEnd"/>
        <w:r w:rsidRPr="00FC3928">
          <w:rPr>
            <w:rStyle w:val="Hyperlink"/>
            <w:rFonts w:ascii="Times New Roman" w:eastAsia="Trebuchet MS" w:hAnsi="Times New Roman" w:cs="Times New Roman"/>
            <w:highlight w:val="white"/>
          </w:rPr>
          <w:t xml:space="preserve"> seq</w:t>
        </w:r>
      </w:hyperlink>
      <w:r w:rsidRPr="00FC3928">
        <w:rPr>
          <w:rFonts w:ascii="Times New Roman" w:eastAsia="Trebuchet MS" w:hAnsi="Times New Roman" w:cs="Times New Roman"/>
          <w:color w:val="222222"/>
          <w:highlight w:val="white"/>
        </w:rPr>
        <w:t xml:space="preserve">.; Individuals with Disabilities Education Improvement Act of 2004 (Fed.); </w:t>
      </w:r>
      <w:hyperlink r:id="rId16" w:history="1">
        <w:r w:rsidRPr="00FC3928">
          <w:rPr>
            <w:rStyle w:val="Hyperlink"/>
            <w:rFonts w:ascii="Times New Roman" w:eastAsia="Trebuchet MS" w:hAnsi="Times New Roman" w:cs="Times New Roman"/>
            <w:highlight w:val="white"/>
          </w:rPr>
          <w:t>P.L. 108-446</w:t>
        </w:r>
      </w:hyperlink>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 xml:space="preserve">(Fed.); </w:t>
      </w:r>
      <w:hyperlink r:id="rId17" w:history="1">
        <w:r w:rsidRPr="00FC3928">
          <w:rPr>
            <w:rStyle w:val="Hyperlink"/>
            <w:rFonts w:ascii="Times New Roman" w:eastAsia="Trebuchet MS" w:hAnsi="Times New Roman" w:cs="Times New Roman"/>
            <w:highlight w:val="white"/>
          </w:rPr>
          <w:t>20 U.S.C. 1400 et seq</w:t>
        </w:r>
      </w:hyperlink>
      <w:r w:rsidRPr="00FC3928">
        <w:rPr>
          <w:rFonts w:ascii="Times New Roman" w:eastAsia="Trebuchet MS" w:hAnsi="Times New Roman" w:cs="Times New Roman"/>
          <w:color w:val="222222"/>
          <w:highlight w:val="white"/>
        </w:rPr>
        <w:t xml:space="preserve">. (Fed.); </w:t>
      </w:r>
      <w:hyperlink r:id="rId18" w:history="1">
        <w:r w:rsidRPr="00FC3928">
          <w:rPr>
            <w:rStyle w:val="Hyperlink"/>
            <w:rFonts w:ascii="Times New Roman" w:eastAsia="Trebuchet MS" w:hAnsi="Times New Roman" w:cs="Times New Roman"/>
            <w:highlight w:val="white"/>
          </w:rPr>
          <w:t>34 C.F.R. 300</w:t>
        </w:r>
      </w:hyperlink>
      <w:r w:rsidRPr="00FC3928">
        <w:rPr>
          <w:rFonts w:ascii="Times New Roman" w:eastAsia="Trebuchet MS" w:hAnsi="Times New Roman" w:cs="Times New Roman"/>
          <w:color w:val="222222"/>
          <w:highlight w:val="white"/>
        </w:rPr>
        <w:t xml:space="preserve">, and </w:t>
      </w:r>
      <w:hyperlink r:id="rId19" w:history="1">
        <w:r w:rsidRPr="00FC3928">
          <w:rPr>
            <w:rStyle w:val="Hyperlink"/>
            <w:rFonts w:ascii="Times New Roman" w:eastAsia="Trebuchet MS" w:hAnsi="Times New Roman" w:cs="Times New Roman"/>
            <w:highlight w:val="white"/>
          </w:rPr>
          <w:t>34 C.F.R. 303</w:t>
        </w:r>
      </w:hyperlink>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(Fed.)</w:t>
      </w:r>
    </w:p>
    <w:p w14:paraId="5A07AD0E" w14:textId="55B0CE79"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Period: </w:t>
      </w:r>
      <w:r w:rsidRPr="00FC3928">
        <w:rPr>
          <w:rFonts w:ascii="Times New Roman" w:eastAsia="Trebuchet MS" w:hAnsi="Times New Roman" w:cs="Times New Roman"/>
          <w:color w:val="222222"/>
          <w:highlight w:val="white"/>
        </w:rPr>
        <w:tab/>
        <w:t>08/01/2002 to 09/30/2002</w:t>
      </w:r>
    </w:p>
    <w:p w14:paraId="7386E3E6" w14:textId="497E5D22"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Finding: </w:t>
      </w:r>
      <w:r w:rsidRPr="00FC3928">
        <w:rPr>
          <w:rFonts w:ascii="Times New Roman" w:eastAsia="Trebuchet MS" w:hAnsi="Times New Roman" w:cs="Times New Roman"/>
          <w:color w:val="222222"/>
          <w:highlight w:val="white"/>
        </w:rPr>
        <w:tab/>
        <w:t>Retain</w:t>
      </w:r>
    </w:p>
    <w:p w14:paraId="18E1EB63" w14:textId="080446FC"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2723E21A" w14:textId="77777777" w:rsidR="00FC3928" w:rsidRP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01941CDF" w14:textId="77777777" w:rsidR="00FC3928" w:rsidRDefault="00FC3928" w:rsidP="00FC3928">
      <w:pPr>
        <w:pStyle w:val="ListParagraph"/>
        <w:numPr>
          <w:ilvl w:val="0"/>
          <w:numId w:val="2"/>
        </w:numPr>
        <w:pBdr>
          <w:top w:val="nil"/>
          <w:left w:val="nil"/>
          <w:bottom w:val="nil"/>
          <w:right w:val="nil"/>
          <w:between w:val="nil"/>
        </w:pBdr>
        <w:shd w:val="clear" w:color="auto" w:fill="FFFFFF"/>
        <w:spacing w:after="0" w:line="240" w:lineRule="auto"/>
        <w:rPr>
          <w:rFonts w:ascii="Times New Roman" w:eastAsia="Trebuchet MS" w:hAnsi="Times New Roman" w:cs="Times New Roman"/>
          <w:color w:val="222222"/>
          <w:highlight w:val="white"/>
        </w:rPr>
      </w:pPr>
      <w:r w:rsidRPr="00FC3928">
        <w:rPr>
          <w:rFonts w:ascii="Times New Roman" w:eastAsia="Trebuchet MS" w:hAnsi="Times New Roman" w:cs="Times New Roman"/>
          <w:b/>
          <w:bCs/>
          <w:color w:val="222222"/>
          <w:highlight w:val="white"/>
        </w:rPr>
        <w:t>Suspension, Expulsion, Exclusion, and Readmission of Pupils</w:t>
      </w:r>
      <w:r>
        <w:rPr>
          <w:rFonts w:ascii="Times New Roman" w:eastAsia="Trebuchet MS" w:hAnsi="Times New Roman" w:cs="Times New Roman"/>
          <w:color w:val="222222"/>
          <w:highlight w:val="white"/>
        </w:rPr>
        <w:t xml:space="preserve"> (</w:t>
      </w:r>
      <w:r w:rsidRPr="00FC3928">
        <w:rPr>
          <w:rFonts w:ascii="Times New Roman" w:eastAsia="Trebuchet MS" w:hAnsi="Times New Roman" w:cs="Times New Roman"/>
          <w:color w:val="222222"/>
          <w:highlight w:val="white"/>
        </w:rPr>
        <w:t>SOE.DOE097</w:t>
      </w:r>
      <w:r>
        <w:rPr>
          <w:rFonts w:ascii="Times New Roman" w:eastAsia="Trebuchet MS" w:hAnsi="Times New Roman" w:cs="Times New Roman"/>
          <w:color w:val="222222"/>
          <w:highlight w:val="white"/>
        </w:rPr>
        <w:t>)</w:t>
      </w:r>
    </w:p>
    <w:p w14:paraId="3CD1B80E" w14:textId="0B98D79B" w:rsidR="00FC3928" w:rsidRPr="00FC3928" w:rsidRDefault="00FC3928" w:rsidP="00FC3928">
      <w:pPr>
        <w:pStyle w:val="ListParagraph"/>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School divisions must adhere to policies and procedures as set forth in the Code of Virginia in the suspension, expulsion, and exclusion of students for sufficient cause. Truancy cannot be a sufficient cause for suspension. School boards must require specific notifications in oral or written notice to the parent of a student who is suspended from school attendance for not more than ten days, including eligibility for the readmission of students. No student in Pre-Kindergarten through third grade may be suspended for longer than three days except in certain circumstances, and no student in other grades may be suspended for longer than 45 days except in circumstances. School boards shall adopt policies and procedures to ensure that suspended students are able to access and complete graded work during and after the suspension.</w:t>
      </w:r>
    </w:p>
    <w:p w14:paraId="5C2E076D" w14:textId="77777777"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548EBC17" w14:textId="0B7EEF54"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Type: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Compulsory Order</w:t>
      </w:r>
    </w:p>
    <w:p w14:paraId="33B03F73" w14:textId="6489E22B"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Authority: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 xml:space="preserve">Code of Virginia §§ </w:t>
      </w:r>
      <w:hyperlink r:id="rId20" w:history="1">
        <w:r w:rsidRPr="00FC3928">
          <w:rPr>
            <w:rStyle w:val="Hyperlink"/>
            <w:rFonts w:ascii="Times New Roman" w:eastAsia="Trebuchet MS" w:hAnsi="Times New Roman" w:cs="Times New Roman"/>
            <w:highlight w:val="white"/>
          </w:rPr>
          <w:t>22.1-276.01</w:t>
        </w:r>
      </w:hyperlink>
      <w:r w:rsidRPr="00FC3928">
        <w:rPr>
          <w:rFonts w:ascii="Times New Roman" w:eastAsia="Trebuchet MS" w:hAnsi="Times New Roman" w:cs="Times New Roman"/>
          <w:color w:val="222222"/>
          <w:highlight w:val="white"/>
        </w:rPr>
        <w:t xml:space="preserve">, </w:t>
      </w:r>
      <w:hyperlink r:id="rId21" w:history="1">
        <w:r w:rsidRPr="00FC3928">
          <w:rPr>
            <w:rStyle w:val="Hyperlink"/>
            <w:rFonts w:ascii="Times New Roman" w:eastAsia="Trebuchet MS" w:hAnsi="Times New Roman" w:cs="Times New Roman"/>
            <w:highlight w:val="white"/>
          </w:rPr>
          <w:t>22.1-276.2</w:t>
        </w:r>
      </w:hyperlink>
      <w:r w:rsidRPr="00FC3928">
        <w:rPr>
          <w:rFonts w:ascii="Times New Roman" w:eastAsia="Trebuchet MS" w:hAnsi="Times New Roman" w:cs="Times New Roman"/>
          <w:color w:val="222222"/>
          <w:highlight w:val="white"/>
        </w:rPr>
        <w:t xml:space="preserve">, </w:t>
      </w:r>
      <w:hyperlink r:id="rId22" w:history="1">
        <w:r w:rsidRPr="00FC3928">
          <w:rPr>
            <w:rStyle w:val="Hyperlink"/>
            <w:rFonts w:ascii="Times New Roman" w:eastAsia="Trebuchet MS" w:hAnsi="Times New Roman" w:cs="Times New Roman"/>
            <w:highlight w:val="white"/>
          </w:rPr>
          <w:t>22.1-277</w:t>
        </w:r>
      </w:hyperlink>
      <w:r w:rsidRPr="00FC3928">
        <w:rPr>
          <w:rFonts w:ascii="Times New Roman" w:eastAsia="Trebuchet MS" w:hAnsi="Times New Roman" w:cs="Times New Roman"/>
          <w:color w:val="222222"/>
          <w:highlight w:val="white"/>
        </w:rPr>
        <w:t xml:space="preserve">, </w:t>
      </w:r>
      <w:hyperlink r:id="rId23" w:history="1">
        <w:r w:rsidRPr="00FC3928">
          <w:rPr>
            <w:rStyle w:val="Hyperlink"/>
            <w:rFonts w:ascii="Times New Roman" w:eastAsia="Trebuchet MS" w:hAnsi="Times New Roman" w:cs="Times New Roman"/>
            <w:highlight w:val="white"/>
          </w:rPr>
          <w:t>22.1-277.04</w:t>
        </w:r>
      </w:hyperlink>
      <w:r w:rsidRPr="00FC3928">
        <w:rPr>
          <w:rFonts w:ascii="Times New Roman" w:eastAsia="Trebuchet MS" w:hAnsi="Times New Roman" w:cs="Times New Roman"/>
          <w:color w:val="222222"/>
          <w:highlight w:val="white"/>
        </w:rPr>
        <w:t xml:space="preserve"> </w:t>
      </w:r>
    </w:p>
    <w:p w14:paraId="482AC73E" w14:textId="50FFE6E8" w:rsidR="00FC3928" w:rsidRPr="00FC3928" w:rsidRDefault="00FC3928" w:rsidP="00FC3928">
      <w:pPr>
        <w:pBdr>
          <w:top w:val="nil"/>
          <w:left w:val="nil"/>
          <w:bottom w:val="nil"/>
          <w:right w:val="nil"/>
          <w:between w:val="nil"/>
        </w:pBdr>
        <w:shd w:val="clear" w:color="auto" w:fill="FFFFFF"/>
        <w:spacing w:after="0" w:line="240" w:lineRule="auto"/>
        <w:ind w:left="2160" w:firstLine="72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through</w:t>
      </w:r>
      <w:proofErr w:type="gramEnd"/>
      <w:r w:rsidRPr="00FC3928">
        <w:rPr>
          <w:rFonts w:ascii="Times New Roman" w:eastAsia="Trebuchet MS" w:hAnsi="Times New Roman" w:cs="Times New Roman"/>
          <w:color w:val="222222"/>
          <w:highlight w:val="white"/>
        </w:rPr>
        <w:t xml:space="preserve"> </w:t>
      </w:r>
      <w:hyperlink r:id="rId24" w:history="1">
        <w:r w:rsidRPr="00FC3928">
          <w:rPr>
            <w:rStyle w:val="Hyperlink"/>
            <w:rFonts w:ascii="Times New Roman" w:eastAsia="Trebuchet MS" w:hAnsi="Times New Roman" w:cs="Times New Roman"/>
            <w:highlight w:val="white"/>
          </w:rPr>
          <w:t>22.1-277.08</w:t>
        </w:r>
      </w:hyperlink>
      <w:r w:rsidRPr="00FC3928">
        <w:rPr>
          <w:rFonts w:ascii="Times New Roman" w:eastAsia="Trebuchet MS" w:hAnsi="Times New Roman" w:cs="Times New Roman"/>
          <w:color w:val="222222"/>
          <w:highlight w:val="white"/>
        </w:rPr>
        <w:t xml:space="preserve">, and </w:t>
      </w:r>
      <w:hyperlink r:id="rId25" w:history="1">
        <w:r w:rsidRPr="00FC3928">
          <w:rPr>
            <w:rStyle w:val="Hyperlink"/>
            <w:rFonts w:ascii="Times New Roman" w:eastAsia="Trebuchet MS" w:hAnsi="Times New Roman" w:cs="Times New Roman"/>
            <w:highlight w:val="white"/>
          </w:rPr>
          <w:t>22.1-277.2</w:t>
        </w:r>
      </w:hyperlink>
    </w:p>
    <w:p w14:paraId="717DE5C9" w14:textId="55CC60D3"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Period: </w:t>
      </w:r>
      <w:r w:rsidRPr="00FC3928">
        <w:rPr>
          <w:rFonts w:ascii="Times New Roman" w:eastAsia="Trebuchet MS" w:hAnsi="Times New Roman" w:cs="Times New Roman"/>
          <w:color w:val="222222"/>
          <w:highlight w:val="white"/>
        </w:rPr>
        <w:tab/>
        <w:t>10/01/2005 to 11/30/2005</w:t>
      </w:r>
    </w:p>
    <w:p w14:paraId="5B85E191" w14:textId="75354EFF"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Last Assessment Finding: </w:t>
      </w:r>
      <w:r w:rsidRPr="00FC3928">
        <w:rPr>
          <w:rFonts w:ascii="Times New Roman" w:eastAsia="Trebuchet MS" w:hAnsi="Times New Roman" w:cs="Times New Roman"/>
          <w:color w:val="222222"/>
          <w:highlight w:val="white"/>
        </w:rPr>
        <w:tab/>
        <w:t>Retain</w:t>
      </w:r>
    </w:p>
    <w:p w14:paraId="19248473" w14:textId="28F9F457" w:rsidR="00FC3928" w:rsidRDefault="00FC3928" w:rsidP="00FC3928">
      <w:pPr>
        <w:pBdr>
          <w:top w:val="nil"/>
          <w:left w:val="nil"/>
          <w:bottom w:val="nil"/>
          <w:right w:val="nil"/>
          <w:between w:val="nil"/>
        </w:pBdr>
        <w:shd w:val="clear" w:color="auto" w:fill="FFFFFF"/>
        <w:spacing w:after="0" w:line="240" w:lineRule="auto"/>
        <w:ind w:left="360" w:firstLine="360"/>
        <w:rPr>
          <w:rFonts w:ascii="Times New Roman" w:eastAsia="Trebuchet MS" w:hAnsi="Times New Roman" w:cs="Times New Roman"/>
          <w:color w:val="222222"/>
          <w:highlight w:val="white"/>
        </w:rPr>
      </w:pPr>
    </w:p>
    <w:p w14:paraId="181F68CD" w14:textId="77777777" w:rsidR="00FC3928" w:rsidRDefault="00FC3928" w:rsidP="00FC3928">
      <w:pPr>
        <w:pBdr>
          <w:top w:val="nil"/>
          <w:left w:val="nil"/>
          <w:bottom w:val="nil"/>
          <w:right w:val="nil"/>
          <w:between w:val="nil"/>
        </w:pBdr>
        <w:shd w:val="clear" w:color="auto" w:fill="FFFFFF"/>
        <w:spacing w:after="0" w:line="240" w:lineRule="auto"/>
        <w:ind w:left="360" w:firstLine="360"/>
        <w:rPr>
          <w:rFonts w:ascii="Times New Roman" w:eastAsia="Trebuchet MS" w:hAnsi="Times New Roman" w:cs="Times New Roman"/>
          <w:color w:val="222222"/>
          <w:highlight w:val="white"/>
        </w:rPr>
      </w:pPr>
    </w:p>
    <w:p w14:paraId="4E07FA34" w14:textId="77777777" w:rsidR="00FC3928" w:rsidRDefault="00FC3928" w:rsidP="00FC3928">
      <w:pPr>
        <w:pStyle w:val="ListParagraph"/>
        <w:numPr>
          <w:ilvl w:val="0"/>
          <w:numId w:val="2"/>
        </w:numPr>
        <w:pBdr>
          <w:top w:val="nil"/>
          <w:left w:val="nil"/>
          <w:bottom w:val="nil"/>
          <w:right w:val="nil"/>
          <w:between w:val="nil"/>
        </w:pBdr>
        <w:shd w:val="clear" w:color="auto" w:fill="FFFFFF"/>
        <w:spacing w:after="0" w:line="240" w:lineRule="auto"/>
        <w:rPr>
          <w:rFonts w:ascii="Times New Roman" w:eastAsia="Trebuchet MS" w:hAnsi="Times New Roman" w:cs="Times New Roman"/>
          <w:color w:val="222222"/>
          <w:highlight w:val="white"/>
        </w:rPr>
      </w:pPr>
      <w:r w:rsidRPr="00FC3928">
        <w:rPr>
          <w:rFonts w:ascii="Times New Roman" w:eastAsia="Trebuchet MS" w:hAnsi="Times New Roman" w:cs="Times New Roman"/>
          <w:b/>
          <w:bCs/>
          <w:color w:val="222222"/>
          <w:highlight w:val="white"/>
        </w:rPr>
        <w:t>Water Management Programs</w:t>
      </w:r>
      <w:r w:rsidRPr="00FC3928">
        <w:rPr>
          <w:rFonts w:ascii="Times New Roman" w:eastAsia="Trebuchet MS" w:hAnsi="Times New Roman" w:cs="Times New Roman"/>
          <w:color w:val="222222"/>
          <w:highlight w:val="white"/>
        </w:rPr>
        <w:t xml:space="preserve"> (SOE.DOE171)</w:t>
      </w:r>
    </w:p>
    <w:p w14:paraId="29C1FBCB"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Effective July 1, 2021, each school board shall maintain a water management program for the </w:t>
      </w:r>
    </w:p>
    <w:p w14:paraId="2A2F563E"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prevention</w:t>
      </w:r>
      <w:proofErr w:type="gramEnd"/>
      <w:r w:rsidRPr="00FC3928">
        <w:rPr>
          <w:rFonts w:ascii="Times New Roman" w:eastAsia="Trebuchet MS" w:hAnsi="Times New Roman" w:cs="Times New Roman"/>
          <w:color w:val="222222"/>
          <w:highlight w:val="white"/>
        </w:rPr>
        <w:t xml:space="preserve"> of Legionnaires’ disease at each public school building in the local school division. Each </w:t>
      </w:r>
    </w:p>
    <w:p w14:paraId="775CF8FF"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school</w:t>
      </w:r>
      <w:proofErr w:type="gramEnd"/>
      <w:r w:rsidRPr="00FC3928">
        <w:rPr>
          <w:rFonts w:ascii="Times New Roman" w:eastAsia="Trebuchet MS" w:hAnsi="Times New Roman" w:cs="Times New Roman"/>
          <w:color w:val="222222"/>
          <w:highlight w:val="white"/>
        </w:rPr>
        <w:t xml:space="preserve"> board shall validate each water management program on at least an annual basis to maintain </w:t>
      </w:r>
    </w:p>
    <w:p w14:paraId="7997A336"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the</w:t>
      </w:r>
      <w:proofErr w:type="gramEnd"/>
      <w:r w:rsidRPr="00FC3928">
        <w:rPr>
          <w:rFonts w:ascii="Times New Roman" w:eastAsia="Trebuchet MS" w:hAnsi="Times New Roman" w:cs="Times New Roman"/>
          <w:color w:val="222222"/>
          <w:highlight w:val="white"/>
        </w:rPr>
        <w:t xml:space="preserve"> health and decency of such buildings. Each public school shall maintain files related to its water </w:t>
      </w:r>
    </w:p>
    <w:p w14:paraId="1B6F026C" w14:textId="77777777"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management</w:t>
      </w:r>
      <w:proofErr w:type="gramEnd"/>
      <w:r w:rsidRPr="00FC3928">
        <w:rPr>
          <w:rFonts w:ascii="Times New Roman" w:eastAsia="Trebuchet MS" w:hAnsi="Times New Roman" w:cs="Times New Roman"/>
          <w:color w:val="222222"/>
          <w:highlight w:val="white"/>
        </w:rPr>
        <w:t xml:space="preserve"> program, including the results of all validation and remediation activities, and make </w:t>
      </w:r>
    </w:p>
    <w:p w14:paraId="2ABCA589" w14:textId="495D4D65"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proofErr w:type="gramStart"/>
      <w:r w:rsidRPr="00FC3928">
        <w:rPr>
          <w:rFonts w:ascii="Times New Roman" w:eastAsia="Trebuchet MS" w:hAnsi="Times New Roman" w:cs="Times New Roman"/>
          <w:color w:val="222222"/>
          <w:highlight w:val="white"/>
        </w:rPr>
        <w:t>such</w:t>
      </w:r>
      <w:proofErr w:type="gramEnd"/>
      <w:r w:rsidRPr="00FC3928">
        <w:rPr>
          <w:rFonts w:ascii="Times New Roman" w:eastAsia="Trebuchet MS" w:hAnsi="Times New Roman" w:cs="Times New Roman"/>
          <w:color w:val="222222"/>
          <w:highlight w:val="white"/>
        </w:rPr>
        <w:t xml:space="preserve"> files available for review.</w:t>
      </w:r>
    </w:p>
    <w:p w14:paraId="3265181F" w14:textId="77777777" w:rsid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0186CACC" w14:textId="0CBC9DD6" w:rsid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Type: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Compulsory Order</w:t>
      </w:r>
    </w:p>
    <w:p w14:paraId="0D819EA8" w14:textId="17F7A9BC" w:rsidR="00FC3928" w:rsidRPr="00FC3928" w:rsidRDefault="00FC3928" w:rsidP="00FC3928">
      <w:pPr>
        <w:pBdr>
          <w:top w:val="nil"/>
          <w:left w:val="nil"/>
          <w:bottom w:val="nil"/>
          <w:right w:val="nil"/>
          <w:between w:val="nil"/>
        </w:pBdr>
        <w:shd w:val="clear" w:color="auto" w:fill="FFFFFF"/>
        <w:spacing w:after="0" w:line="240" w:lineRule="auto"/>
        <w:ind w:firstLine="360"/>
        <w:rPr>
          <w:rFonts w:ascii="Times New Roman" w:eastAsia="Trebuchet MS" w:hAnsi="Times New Roman" w:cs="Times New Roman"/>
          <w:color w:val="222222"/>
          <w:highlight w:val="white"/>
        </w:rPr>
      </w:pPr>
      <w:r w:rsidRPr="00FC3928">
        <w:rPr>
          <w:rFonts w:ascii="Times New Roman" w:eastAsia="Trebuchet MS" w:hAnsi="Times New Roman" w:cs="Times New Roman"/>
          <w:color w:val="222222"/>
          <w:highlight w:val="white"/>
        </w:rPr>
        <w:t xml:space="preserve">Authority: </w:t>
      </w:r>
      <w:r w:rsidRPr="00FC3928">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Pr>
          <w:rFonts w:ascii="Times New Roman" w:eastAsia="Trebuchet MS" w:hAnsi="Times New Roman" w:cs="Times New Roman"/>
          <w:color w:val="222222"/>
          <w:highlight w:val="white"/>
        </w:rPr>
        <w:tab/>
      </w:r>
      <w:r w:rsidRPr="00FC3928">
        <w:rPr>
          <w:rFonts w:ascii="Times New Roman" w:eastAsia="Trebuchet MS" w:hAnsi="Times New Roman" w:cs="Times New Roman"/>
          <w:color w:val="222222"/>
          <w:highlight w:val="white"/>
        </w:rPr>
        <w:t xml:space="preserve">Code of Virginia §§ </w:t>
      </w:r>
      <w:hyperlink r:id="rId26" w:history="1">
        <w:r w:rsidRPr="00FC3928">
          <w:rPr>
            <w:rStyle w:val="Hyperlink"/>
            <w:rFonts w:ascii="Times New Roman" w:eastAsia="Trebuchet MS" w:hAnsi="Times New Roman" w:cs="Times New Roman"/>
            <w:highlight w:val="white"/>
          </w:rPr>
          <w:t>22.1-271.2</w:t>
        </w:r>
      </w:hyperlink>
    </w:p>
    <w:p w14:paraId="1B3C4D06" w14:textId="77777777" w:rsidR="00FC3928" w:rsidRPr="00FC3928" w:rsidRDefault="00FC3928"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color w:val="222222"/>
          <w:highlight w:val="white"/>
        </w:rPr>
      </w:pPr>
    </w:p>
    <w:p w14:paraId="0000002E" w14:textId="5EDE77B9" w:rsidR="008D1C51" w:rsidRPr="00FC3928" w:rsidRDefault="008D1C51" w:rsidP="00FC3928">
      <w:pPr>
        <w:pBdr>
          <w:top w:val="nil"/>
          <w:left w:val="nil"/>
          <w:bottom w:val="nil"/>
          <w:right w:val="nil"/>
          <w:between w:val="nil"/>
        </w:pBdr>
        <w:shd w:val="clear" w:color="auto" w:fill="FFFFFF"/>
        <w:spacing w:after="0" w:line="240" w:lineRule="auto"/>
        <w:ind w:left="360"/>
        <w:rPr>
          <w:rFonts w:ascii="Times New Roman" w:eastAsia="Trebuchet MS" w:hAnsi="Times New Roman" w:cs="Times New Roman"/>
        </w:rPr>
      </w:pPr>
    </w:p>
    <w:sectPr w:rsidR="008D1C51" w:rsidRPr="00FC3928" w:rsidSect="009239FF">
      <w:pgSz w:w="12240" w:h="15840"/>
      <w:pgMar w:top="115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03F5"/>
    <w:multiLevelType w:val="hybridMultilevel"/>
    <w:tmpl w:val="FA4605EC"/>
    <w:lvl w:ilvl="0" w:tplc="6E6EF5F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220B94"/>
    <w:multiLevelType w:val="multilevel"/>
    <w:tmpl w:val="C3FACC02"/>
    <w:lvl w:ilvl="0">
      <w:start w:val="1"/>
      <w:numFmt w:val="decimal"/>
      <w:lvlText w:val="%1."/>
      <w:lvlJc w:val="left"/>
      <w:pPr>
        <w:ind w:left="720" w:hanging="360"/>
      </w:pPr>
      <w:rPr>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51"/>
    <w:rsid w:val="00651F69"/>
    <w:rsid w:val="00673621"/>
    <w:rsid w:val="008D1C51"/>
    <w:rsid w:val="009239FF"/>
    <w:rsid w:val="00C307FB"/>
    <w:rsid w:val="00FC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F032"/>
  <w15:docId w15:val="{82220C78-006F-4B8A-AE89-D5C91F8A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4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C4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C4C7A"/>
  </w:style>
  <w:style w:type="character" w:styleId="Hyperlink">
    <w:name w:val="Hyperlink"/>
    <w:basedOn w:val="DefaultParagraphFont"/>
    <w:uiPriority w:val="99"/>
    <w:unhideWhenUsed/>
    <w:rsid w:val="000C4C7A"/>
    <w:rPr>
      <w:color w:val="0000FF"/>
      <w:u w:val="single"/>
    </w:rPr>
  </w:style>
  <w:style w:type="character" w:customStyle="1" w:styleId="Heading1Char">
    <w:name w:val="Heading 1 Char"/>
    <w:basedOn w:val="DefaultParagraphFont"/>
    <w:link w:val="Heading1"/>
    <w:uiPriority w:val="9"/>
    <w:rsid w:val="000C4C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C4C7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FC3928"/>
    <w:rPr>
      <w:color w:val="605E5C"/>
      <w:shd w:val="clear" w:color="auto" w:fill="E1DFDD"/>
    </w:rPr>
  </w:style>
  <w:style w:type="character" w:styleId="FollowedHyperlink">
    <w:name w:val="FollowedHyperlink"/>
    <w:basedOn w:val="DefaultParagraphFont"/>
    <w:uiPriority w:val="99"/>
    <w:semiHidden/>
    <w:unhideWhenUsed/>
    <w:rsid w:val="00FC3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2.1/chapter13.2/section22.1-227.1/" TargetMode="External"/><Relationship Id="rId13" Type="http://schemas.openxmlformats.org/officeDocument/2006/relationships/hyperlink" Target="https://law.lis.virginia.gov/vacode/title22.1/chapter13.2/section22.1-215.2/" TargetMode="External"/><Relationship Id="rId18" Type="http://schemas.openxmlformats.org/officeDocument/2006/relationships/hyperlink" Target="https://www.ecfr.gov/current/title-34/subtitle-B/chapter-III/part-300?toc=1" TargetMode="External"/><Relationship Id="rId26" Type="http://schemas.openxmlformats.org/officeDocument/2006/relationships/hyperlink" Target="https://law.lis.virginia.gov/vacode/title22.1/chapter14/section22.1-271.2/" TargetMode="External"/><Relationship Id="rId3" Type="http://schemas.openxmlformats.org/officeDocument/2006/relationships/styles" Target="styles.xml"/><Relationship Id="rId21" Type="http://schemas.openxmlformats.org/officeDocument/2006/relationships/hyperlink" Target="https://law.lis.virginia.gov/vacode/title22.1/chapter14/section22.1-276.2/" TargetMode="External"/><Relationship Id="rId7" Type="http://schemas.openxmlformats.org/officeDocument/2006/relationships/hyperlink" Target="https://law.lis.virginia.gov/vacode/title22.1/chapter13.2/section22.1-253.13:1/" TargetMode="External"/><Relationship Id="rId12" Type="http://schemas.openxmlformats.org/officeDocument/2006/relationships/hyperlink" Target="https://dmz1.dhcd.virginia.gov/MandatesSearch/AssessmentFiles/SOE.DOE062.pdf" TargetMode="External"/><Relationship Id="rId17" Type="http://schemas.openxmlformats.org/officeDocument/2006/relationships/hyperlink" Target="https://www.govinfo.gov/content/pkg/USCODE-2010-title20/pdf/USCODE-2010-title20-chap33-subchapI.pdf" TargetMode="External"/><Relationship Id="rId25" Type="http://schemas.openxmlformats.org/officeDocument/2006/relationships/hyperlink" Target="https://law.lis.virginia.gov/vacode/title22.1/chapter14/section22.1-277.2/" TargetMode="External"/><Relationship Id="rId2" Type="http://schemas.openxmlformats.org/officeDocument/2006/relationships/numbering" Target="numbering.xml"/><Relationship Id="rId16" Type="http://schemas.openxmlformats.org/officeDocument/2006/relationships/hyperlink" Target="https://www.govinfo.gov/content/pkg/PLAW-108publ446/pdf/PLAW-108publ446.pdf" TargetMode="External"/><Relationship Id="rId20" Type="http://schemas.openxmlformats.org/officeDocument/2006/relationships/hyperlink" Target="https://law.lis.virginia.gov/vacode/title22.1/chapter14/section22.1-276.01/" TargetMode="External"/><Relationship Id="rId1" Type="http://schemas.openxmlformats.org/officeDocument/2006/relationships/customXml" Target="../customXml/item1.xml"/><Relationship Id="rId6" Type="http://schemas.openxmlformats.org/officeDocument/2006/relationships/hyperlink" Target="https://law.lis.virginia.gov/vacode/title22.1/chapter13.2/section22.1-253.13:1/" TargetMode="External"/><Relationship Id="rId11" Type="http://schemas.openxmlformats.org/officeDocument/2006/relationships/hyperlink" Target="https://www.govinfo.gov/content/pkg/USCODE-2020-title20/pdf/USCODE-2020-title20-chap44-sec2301.pdf" TargetMode="External"/><Relationship Id="rId24" Type="http://schemas.openxmlformats.org/officeDocument/2006/relationships/hyperlink" Target="https://law.lis.virginia.gov/vacode/title22.1/chapter14/section22.1-277.08/" TargetMode="External"/><Relationship Id="rId5" Type="http://schemas.openxmlformats.org/officeDocument/2006/relationships/webSettings" Target="webSettings.xml"/><Relationship Id="rId15" Type="http://schemas.openxmlformats.org/officeDocument/2006/relationships/hyperlink" Target="https://law.lis.virginia.gov/admincode/title8/agency20/chapter81/" TargetMode="External"/><Relationship Id="rId23" Type="http://schemas.openxmlformats.org/officeDocument/2006/relationships/hyperlink" Target="https://law.lis.virginia.gov/vacode/title22.1/chapter14/section22.1-277.04/" TargetMode="External"/><Relationship Id="rId28" Type="http://schemas.openxmlformats.org/officeDocument/2006/relationships/theme" Target="theme/theme1.xml"/><Relationship Id="rId10" Type="http://schemas.openxmlformats.org/officeDocument/2006/relationships/hyperlink" Target="https://www.govinfo.gov/content/pkg/STATUTE-112/pdf/STATUTE-112-Pg3076.pdf" TargetMode="External"/><Relationship Id="rId19" Type="http://schemas.openxmlformats.org/officeDocument/2006/relationships/hyperlink" Target="https://www.ecfr.gov/current/title-34/subtitle-B/chapter-III/part-303?toc=1" TargetMode="External"/><Relationship Id="rId4" Type="http://schemas.openxmlformats.org/officeDocument/2006/relationships/settings" Target="settings.xml"/><Relationship Id="rId9" Type="http://schemas.openxmlformats.org/officeDocument/2006/relationships/hyperlink" Target="https://law.lis.virginia.gov/admincode/title8/agency20/chapter120/" TargetMode="External"/><Relationship Id="rId14" Type="http://schemas.openxmlformats.org/officeDocument/2006/relationships/hyperlink" Target="https://law.lis.virginia.gov/vacode/title22.1/chapter13.2/section22.1-253.13:1/" TargetMode="External"/><Relationship Id="rId22" Type="http://schemas.openxmlformats.org/officeDocument/2006/relationships/hyperlink" Target="https://law.lis.virginia.gov/vacode/title22.1/chapter14/section22.1-2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oVe/CBGI0+QFJIVDEyuXGQu2A==">AMUW2mVEodgBn1SB6/gWEzGnel9w84A4aMfcUlop1AWLdl5TGDrPEQM7cngvwx1bUkipfk/dcU5YxjOpQdVGz3A+rf4MzD1d1wv0oY432itosPas9tQebNvAfjYXu0YOZ6wKrGLMSCAZ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1266</Words>
  <Characters>6980</Characters>
  <Application>Microsoft Office Word</Application>
  <DocSecurity>0</DocSecurity>
  <Lines>387</Lines>
  <Paragraphs>183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Sale</dc:creator>
  <cp:lastModifiedBy>VITA Program</cp:lastModifiedBy>
  <cp:revision>2</cp:revision>
  <dcterms:created xsi:type="dcterms:W3CDTF">2022-08-11T11:21:00Z</dcterms:created>
  <dcterms:modified xsi:type="dcterms:W3CDTF">2022-08-11T11:21:00Z</dcterms:modified>
</cp:coreProperties>
</file>